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9B" w:rsidRDefault="00123E9B" w:rsidP="00123E9B">
      <w:pPr>
        <w:rPr>
          <w:color w:val="1F497D"/>
          <w:lang w:val="en-MY"/>
        </w:rPr>
      </w:pPr>
      <w:r>
        <w:rPr>
          <w:noProof/>
          <w:color w:val="1F497D"/>
        </w:rPr>
        <w:drawing>
          <wp:inline distT="0" distB="0" distL="0" distR="0">
            <wp:extent cx="1516380" cy="648335"/>
            <wp:effectExtent l="19050" t="0" r="7620" b="0"/>
            <wp:docPr id="1" name="Picture 6"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S-Logo-New-(c)"/>
                    <pic:cNvPicPr>
                      <a:picLocks noChangeAspect="1" noChangeArrowheads="1"/>
                    </pic:cNvPicPr>
                  </pic:nvPicPr>
                  <pic:blipFill>
                    <a:blip r:embed="rId5" r:link="rId6" cstate="print"/>
                    <a:srcRect/>
                    <a:stretch>
                      <a:fillRect/>
                    </a:stretch>
                  </pic:blipFill>
                  <pic:spPr bwMode="auto">
                    <a:xfrm>
                      <a:off x="0" y="0"/>
                      <a:ext cx="1516380" cy="648335"/>
                    </a:xfrm>
                    <a:prstGeom prst="rect">
                      <a:avLst/>
                    </a:prstGeom>
                    <a:noFill/>
                    <a:ln w="9525">
                      <a:noFill/>
                      <a:miter lim="800000"/>
                      <a:headEnd/>
                      <a:tailEnd/>
                    </a:ln>
                  </pic:spPr>
                </pic:pic>
              </a:graphicData>
            </a:graphic>
          </wp:inline>
        </w:drawing>
      </w:r>
    </w:p>
    <w:p w:rsidR="00AA45AD" w:rsidRDefault="00AA45AD" w:rsidP="00123E9B">
      <w:pPr>
        <w:rPr>
          <w:color w:val="1F497D"/>
          <w:lang w:val="en-MY"/>
        </w:rPr>
      </w:pPr>
    </w:p>
    <w:p w:rsidR="00AA45AD" w:rsidRDefault="00AA45AD" w:rsidP="00123E9B">
      <w:pPr>
        <w:rPr>
          <w:color w:val="1F497D"/>
          <w:lang w:val="en-MY"/>
        </w:rPr>
      </w:pPr>
    </w:p>
    <w:p w:rsidR="00123E9B" w:rsidRDefault="00123E9B" w:rsidP="00123E9B">
      <w:pPr>
        <w:rPr>
          <w:color w:val="1F497D"/>
          <w:lang w:val="en-MY"/>
        </w:rPr>
      </w:pPr>
    </w:p>
    <w:p w:rsidR="00123E9B" w:rsidRDefault="00123E9B" w:rsidP="00123E9B">
      <w:pPr>
        <w:rPr>
          <w:color w:val="1F497D"/>
          <w:lang w:val="en-MY"/>
        </w:rPr>
      </w:pPr>
    </w:p>
    <w:p w:rsidR="00123E9B" w:rsidRDefault="00123E9B" w:rsidP="00123E9B">
      <w:pPr>
        <w:rPr>
          <w:rFonts w:ascii="Arial" w:hAnsi="Arial" w:cs="Arial"/>
          <w:lang w:val="en-MY"/>
        </w:rPr>
      </w:pPr>
      <w:r>
        <w:rPr>
          <w:rFonts w:ascii="Arial" w:hAnsi="Arial" w:cs="Arial"/>
          <w:lang w:val="en-MY"/>
        </w:rPr>
        <w:t>Dear Sir / Madam,</w:t>
      </w:r>
    </w:p>
    <w:p w:rsidR="00123E9B" w:rsidRDefault="00123E9B" w:rsidP="00123E9B">
      <w:pPr>
        <w:jc w:val="both"/>
        <w:rPr>
          <w:rFonts w:ascii="Arial" w:hAnsi="Arial" w:cs="Arial"/>
          <w:lang w:val="en-MY"/>
        </w:rPr>
      </w:pPr>
    </w:p>
    <w:p w:rsidR="00AA45AD" w:rsidRDefault="00AA45AD" w:rsidP="00123E9B">
      <w:pPr>
        <w:jc w:val="both"/>
        <w:rPr>
          <w:rFonts w:ascii="Arial" w:hAnsi="Arial" w:cs="Arial"/>
          <w:lang w:val="en-MY"/>
        </w:rPr>
      </w:pPr>
    </w:p>
    <w:p w:rsidR="00AA45AD" w:rsidRDefault="00AA45AD" w:rsidP="00123E9B">
      <w:pPr>
        <w:jc w:val="both"/>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pStyle w:val="Heading7"/>
        <w:jc w:val="both"/>
        <w:rPr>
          <w:rFonts w:ascii="Arial" w:hAnsi="Arial" w:cs="Arial"/>
          <w:sz w:val="22"/>
          <w:szCs w:val="22"/>
        </w:rPr>
      </w:pPr>
      <w:r>
        <w:rPr>
          <w:rFonts w:ascii="Arial" w:hAnsi="Arial" w:cs="Arial"/>
          <w:sz w:val="22"/>
          <w:szCs w:val="22"/>
        </w:rPr>
        <w:t xml:space="preserve">SEMINAR </w:t>
      </w:r>
      <w:proofErr w:type="gramStart"/>
      <w:r>
        <w:rPr>
          <w:rFonts w:ascii="Arial" w:hAnsi="Arial" w:cs="Arial"/>
          <w:sz w:val="22"/>
          <w:szCs w:val="22"/>
        </w:rPr>
        <w:t>ON :</w:t>
      </w:r>
      <w:proofErr w:type="gramEnd"/>
    </w:p>
    <w:p w:rsidR="00123E9B" w:rsidRDefault="00123E9B" w:rsidP="00123E9B">
      <w:pPr>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numPr>
          <w:ilvl w:val="0"/>
          <w:numId w:val="2"/>
        </w:numPr>
        <w:ind w:left="426" w:hanging="284"/>
        <w:jc w:val="both"/>
        <w:rPr>
          <w:rFonts w:ascii="Arial" w:hAnsi="Arial" w:cs="Arial"/>
          <w:b/>
          <w:bCs/>
          <w:lang w:val="en-MY"/>
        </w:rPr>
      </w:pPr>
      <w:r>
        <w:rPr>
          <w:rFonts w:ascii="Arial" w:hAnsi="Arial" w:cs="Arial"/>
          <w:b/>
          <w:bCs/>
          <w:lang w:val="en-MY"/>
        </w:rPr>
        <w:t>DIRECTORS &amp; OFFICERS LIABILITY CLAIMS BY MR ROY SHARMA</w:t>
      </w:r>
    </w:p>
    <w:p w:rsidR="00123E9B" w:rsidRDefault="00123E9B" w:rsidP="00123E9B">
      <w:pPr>
        <w:pStyle w:val="BodyText2"/>
        <w:ind w:left="426" w:hanging="284"/>
        <w:rPr>
          <w:b/>
          <w:bCs/>
        </w:rPr>
      </w:pPr>
    </w:p>
    <w:p w:rsidR="00123E9B" w:rsidRDefault="00123E9B" w:rsidP="00123E9B">
      <w:pPr>
        <w:numPr>
          <w:ilvl w:val="0"/>
          <w:numId w:val="2"/>
        </w:numPr>
        <w:ind w:left="426" w:hanging="284"/>
        <w:jc w:val="both"/>
        <w:rPr>
          <w:rFonts w:ascii="Arial" w:hAnsi="Arial" w:cs="Arial"/>
          <w:b/>
          <w:bCs/>
          <w:lang w:val="en-MY"/>
        </w:rPr>
      </w:pPr>
      <w:r>
        <w:rPr>
          <w:rFonts w:ascii="Arial" w:hAnsi="Arial" w:cs="Arial"/>
          <w:b/>
          <w:bCs/>
          <w:lang w:val="en-MY"/>
        </w:rPr>
        <w:t>UNDERSTANDING THE MECHANICS OF D&amp;O POLICIES BY MR STEVEN DEWHURST</w:t>
      </w:r>
    </w:p>
    <w:p w:rsidR="00123E9B" w:rsidRDefault="00123E9B" w:rsidP="00123E9B">
      <w:pPr>
        <w:pStyle w:val="BodyText2"/>
        <w:ind w:left="720"/>
        <w:rPr>
          <w:b/>
          <w:bCs/>
        </w:rPr>
      </w:pPr>
    </w:p>
    <w:p w:rsidR="00123E9B" w:rsidRDefault="00123E9B" w:rsidP="00123E9B">
      <w:pPr>
        <w:pStyle w:val="BodyText2"/>
        <w:ind w:left="720"/>
        <w:rPr>
          <w:b/>
          <w:bCs/>
        </w:rPr>
      </w:pPr>
    </w:p>
    <w:p w:rsidR="00123E9B" w:rsidRDefault="00123E9B" w:rsidP="00123E9B">
      <w:pPr>
        <w:pStyle w:val="BodyText2"/>
      </w:pPr>
      <w:r>
        <w:t xml:space="preserve">We are pleased to inform that we will be organizing one day Seminar on the abovementioned topics as below: </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pStyle w:val="Heading7"/>
        <w:jc w:val="both"/>
        <w:rPr>
          <w:rFonts w:ascii="Arial" w:hAnsi="Arial" w:cs="Arial"/>
          <w:sz w:val="22"/>
          <w:szCs w:val="22"/>
        </w:rPr>
      </w:pPr>
      <w:r>
        <w:rPr>
          <w:rFonts w:ascii="Arial" w:hAnsi="Arial" w:cs="Arial"/>
          <w:sz w:val="22"/>
          <w:szCs w:val="22"/>
        </w:rPr>
        <w:t>DATE &amp; TIME</w:t>
      </w:r>
    </w:p>
    <w:p w:rsidR="00123E9B" w:rsidRDefault="00123E9B" w:rsidP="00123E9B">
      <w:pPr>
        <w:jc w:val="both"/>
        <w:rPr>
          <w:rFonts w:ascii="Arial" w:hAnsi="Arial" w:cs="Arial"/>
          <w:lang w:val="en-MY"/>
        </w:rPr>
      </w:pPr>
    </w:p>
    <w:p w:rsidR="00123E9B" w:rsidRDefault="00123E9B" w:rsidP="00123E9B">
      <w:pPr>
        <w:pStyle w:val="Heading7"/>
        <w:jc w:val="both"/>
        <w:rPr>
          <w:rFonts w:ascii="Arial" w:hAnsi="Arial" w:cs="Arial"/>
          <w:b w:val="0"/>
          <w:bCs w:val="0"/>
          <w:sz w:val="22"/>
          <w:szCs w:val="22"/>
        </w:rPr>
      </w:pPr>
      <w:r>
        <w:rPr>
          <w:rFonts w:ascii="Arial" w:hAnsi="Arial" w:cs="Arial"/>
          <w:b w:val="0"/>
          <w:bCs w:val="0"/>
          <w:sz w:val="22"/>
          <w:szCs w:val="22"/>
        </w:rPr>
        <w:t xml:space="preserve">Wednesday, 12 October 2016:  9.00 am – 5.00 pm </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pStyle w:val="Heading7"/>
        <w:jc w:val="both"/>
        <w:rPr>
          <w:rFonts w:ascii="Arial" w:hAnsi="Arial" w:cs="Arial"/>
          <w:sz w:val="22"/>
          <w:szCs w:val="22"/>
        </w:rPr>
      </w:pPr>
      <w:r>
        <w:rPr>
          <w:rFonts w:ascii="Arial" w:hAnsi="Arial" w:cs="Arial"/>
          <w:sz w:val="22"/>
          <w:szCs w:val="22"/>
        </w:rPr>
        <w:t>VENUE</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s-ES"/>
        </w:rPr>
      </w:pPr>
      <w:r>
        <w:rPr>
          <w:rFonts w:ascii="Arial" w:hAnsi="Arial" w:cs="Arial"/>
          <w:lang w:val="es-ES"/>
        </w:rPr>
        <w:t>Sheraton Imperial Hotel, Kuala Lumpur</w:t>
      </w:r>
    </w:p>
    <w:p w:rsidR="00123E9B" w:rsidRDefault="00123E9B" w:rsidP="00123E9B">
      <w:pPr>
        <w:jc w:val="both"/>
        <w:rPr>
          <w:rFonts w:ascii="Arial" w:hAnsi="Arial" w:cs="Arial"/>
          <w:lang w:val="es-ES"/>
        </w:rPr>
      </w:pPr>
    </w:p>
    <w:p w:rsidR="00123E9B" w:rsidRDefault="00123E9B" w:rsidP="00123E9B">
      <w:pPr>
        <w:jc w:val="both"/>
        <w:rPr>
          <w:rFonts w:ascii="Arial" w:hAnsi="Arial" w:cs="Arial"/>
          <w:lang w:val="es-ES"/>
        </w:rPr>
      </w:pPr>
    </w:p>
    <w:p w:rsidR="00123E9B" w:rsidRDefault="00123E9B" w:rsidP="00123E9B">
      <w:pPr>
        <w:jc w:val="both"/>
        <w:rPr>
          <w:rFonts w:ascii="Arial" w:hAnsi="Arial" w:cs="Arial"/>
          <w:b/>
          <w:bCs/>
        </w:rPr>
      </w:pPr>
      <w:r>
        <w:rPr>
          <w:rFonts w:ascii="Arial" w:hAnsi="Arial" w:cs="Arial"/>
          <w:b/>
          <w:bCs/>
          <w:lang w:val="en-MY"/>
        </w:rPr>
        <w:t xml:space="preserve">PARTICIPANTS </w:t>
      </w:r>
    </w:p>
    <w:p w:rsidR="00123E9B" w:rsidRDefault="00123E9B" w:rsidP="00123E9B">
      <w:pPr>
        <w:jc w:val="both"/>
        <w:rPr>
          <w:rFonts w:ascii="Arial" w:hAnsi="Arial" w:cs="Arial"/>
          <w:lang w:val="en-MY"/>
        </w:rPr>
      </w:pPr>
      <w:r>
        <w:rPr>
          <w:rFonts w:ascii="Arial" w:hAnsi="Arial" w:cs="Arial"/>
          <w:lang w:val="en-MY"/>
        </w:rPr>
        <w:t xml:space="preserve">                     </w:t>
      </w:r>
    </w:p>
    <w:p w:rsidR="00123E9B" w:rsidRDefault="00123E9B" w:rsidP="00123E9B">
      <w:pPr>
        <w:jc w:val="both"/>
        <w:rPr>
          <w:rFonts w:ascii="Arial" w:hAnsi="Arial" w:cs="Arial"/>
          <w:color w:val="FF0000"/>
          <w:lang w:val="en-MY"/>
        </w:rPr>
      </w:pPr>
      <w:r>
        <w:rPr>
          <w:rFonts w:ascii="Arial" w:hAnsi="Arial" w:cs="Arial"/>
          <w:lang w:val="en-MY"/>
        </w:rPr>
        <w:t>This session should attract all technical professionals engaged in the Malaysian insurance/</w:t>
      </w:r>
      <w:proofErr w:type="spellStart"/>
      <w:r>
        <w:rPr>
          <w:rFonts w:ascii="Arial" w:hAnsi="Arial" w:cs="Arial"/>
          <w:lang w:val="en-MY"/>
        </w:rPr>
        <w:t>takaful</w:t>
      </w:r>
      <w:proofErr w:type="spellEnd"/>
      <w:r>
        <w:rPr>
          <w:rFonts w:ascii="Arial" w:hAnsi="Arial" w:cs="Arial"/>
          <w:lang w:val="en-MY"/>
        </w:rPr>
        <w:t xml:space="preserve"> market e.g. Claims personnel, Underwriters, Risk Surveyors, Loss Adjusters, Insurance Brokers etc. It will also be informative for </w:t>
      </w:r>
      <w:proofErr w:type="spellStart"/>
      <w:r>
        <w:rPr>
          <w:rFonts w:ascii="Arial" w:hAnsi="Arial" w:cs="Arial"/>
          <w:lang w:val="en-MY"/>
        </w:rPr>
        <w:t>marketeers</w:t>
      </w:r>
      <w:proofErr w:type="spellEnd"/>
      <w:r>
        <w:rPr>
          <w:rFonts w:ascii="Arial" w:hAnsi="Arial" w:cs="Arial"/>
          <w:lang w:val="en-MY"/>
        </w:rPr>
        <w:t>, regulatory bodies, Legal and Compliance Department.</w:t>
      </w:r>
      <w:r>
        <w:rPr>
          <w:rFonts w:ascii="Arial" w:hAnsi="Arial" w:cs="Arial"/>
          <w:color w:val="FF0000"/>
          <w:lang w:val="en-MY"/>
        </w:rPr>
        <w:t> </w:t>
      </w:r>
    </w:p>
    <w:p w:rsidR="00123E9B" w:rsidRDefault="00123E9B" w:rsidP="00123E9B">
      <w:pPr>
        <w:jc w:val="both"/>
        <w:rPr>
          <w:rFonts w:ascii="Arial" w:hAnsi="Arial" w:cs="Arial"/>
          <w:b/>
          <w:bCs/>
          <w:lang w:val="en-MY"/>
        </w:rPr>
      </w:pPr>
    </w:p>
    <w:p w:rsidR="00AA45AD" w:rsidRDefault="00AA45AD" w:rsidP="00123E9B">
      <w:pPr>
        <w:jc w:val="both"/>
        <w:rPr>
          <w:rFonts w:ascii="Arial" w:hAnsi="Arial" w:cs="Arial"/>
          <w:b/>
          <w:bCs/>
          <w:lang w:val="en-MY"/>
        </w:rPr>
      </w:pPr>
    </w:p>
    <w:p w:rsidR="00AA45AD" w:rsidRDefault="00AA45AD" w:rsidP="00123E9B">
      <w:pPr>
        <w:jc w:val="both"/>
        <w:rPr>
          <w:rFonts w:ascii="Arial" w:hAnsi="Arial" w:cs="Arial"/>
          <w:b/>
          <w:bCs/>
          <w:lang w:val="en-MY"/>
        </w:rPr>
      </w:pPr>
    </w:p>
    <w:p w:rsidR="00AA45AD" w:rsidRDefault="00AA45AD">
      <w:pPr>
        <w:spacing w:after="200" w:line="276" w:lineRule="auto"/>
        <w:rPr>
          <w:rFonts w:ascii="Arial" w:hAnsi="Arial" w:cs="Arial"/>
          <w:b/>
          <w:bCs/>
          <w:lang w:val="en-MY"/>
        </w:rPr>
      </w:pPr>
      <w:r>
        <w:rPr>
          <w:rFonts w:ascii="Arial" w:hAnsi="Arial" w:cs="Arial"/>
          <w:b/>
          <w:bCs/>
          <w:lang w:val="en-MY"/>
        </w:rPr>
        <w:br w:type="page"/>
      </w:r>
    </w:p>
    <w:p w:rsidR="00124CEF" w:rsidRDefault="00123E9B" w:rsidP="00123E9B">
      <w:pPr>
        <w:jc w:val="both"/>
        <w:rPr>
          <w:rFonts w:ascii="Arial" w:hAnsi="Arial" w:cs="Arial"/>
          <w:b/>
          <w:bCs/>
          <w:lang w:val="en-MY"/>
        </w:rPr>
      </w:pPr>
      <w:r>
        <w:rPr>
          <w:rFonts w:ascii="Arial" w:hAnsi="Arial" w:cs="Arial"/>
          <w:b/>
          <w:bCs/>
          <w:lang w:val="en-MY"/>
        </w:rPr>
        <w:lastRenderedPageBreak/>
        <w:t xml:space="preserve">SPEAKER’S PROFILE </w:t>
      </w:r>
    </w:p>
    <w:tbl>
      <w:tblPr>
        <w:tblW w:w="9360" w:type="dxa"/>
        <w:tblCellSpacing w:w="0" w:type="dxa"/>
        <w:shd w:val="clear" w:color="auto" w:fill="FFFFFF"/>
        <w:tblCellMar>
          <w:left w:w="0" w:type="dxa"/>
          <w:right w:w="0" w:type="dxa"/>
        </w:tblCellMar>
        <w:tblLook w:val="04A0"/>
      </w:tblPr>
      <w:tblGrid>
        <w:gridCol w:w="6"/>
        <w:gridCol w:w="9354"/>
      </w:tblGrid>
      <w:tr w:rsidR="00AA45AD" w:rsidRPr="00AA45AD" w:rsidTr="00AA45AD">
        <w:trPr>
          <w:tblCellSpacing w:w="0" w:type="dxa"/>
        </w:trPr>
        <w:tc>
          <w:tcPr>
            <w:tcW w:w="9360" w:type="dxa"/>
            <w:gridSpan w:val="2"/>
            <w:shd w:val="clear" w:color="auto" w:fill="FFFFFF"/>
            <w:hideMark/>
          </w:tcPr>
          <w:p w:rsidR="00AA45AD" w:rsidRDefault="00AA45AD" w:rsidP="00AA45AD">
            <w:pPr>
              <w:jc w:val="both"/>
              <w:rPr>
                <w:rFonts w:ascii="Arial" w:hAnsi="Arial" w:cs="Arial"/>
                <w:b/>
                <w:bCs/>
                <w:lang w:val="en-MY"/>
              </w:rPr>
            </w:pPr>
          </w:p>
          <w:p w:rsidR="00AA45AD" w:rsidRDefault="00AA45AD" w:rsidP="00AA45AD">
            <w:pPr>
              <w:jc w:val="both"/>
              <w:rPr>
                <w:rFonts w:ascii="Arial" w:hAnsi="Arial" w:cs="Arial"/>
                <w:b/>
                <w:bCs/>
                <w:lang w:val="en-MY"/>
              </w:rPr>
            </w:pPr>
            <w:r>
              <w:rPr>
                <w:rFonts w:ascii="Arial" w:hAnsi="Arial" w:cs="Arial"/>
                <w:b/>
                <w:bCs/>
                <w:lang w:val="en-MY"/>
              </w:rPr>
              <w:t>MR ROY SHARMA</w:t>
            </w:r>
          </w:p>
          <w:p w:rsidR="00AA45AD" w:rsidRDefault="00AA45AD" w:rsidP="00AA45AD">
            <w:pPr>
              <w:jc w:val="both"/>
              <w:rPr>
                <w:rFonts w:ascii="Arial" w:eastAsia="Times New Roman" w:hAnsi="Arial" w:cs="Arial"/>
              </w:rPr>
            </w:pPr>
            <w:r w:rsidRPr="00AA45AD">
              <w:rPr>
                <w:rFonts w:ascii="Arial" w:eastAsia="Times New Roman" w:hAnsi="Arial" w:cs="Arial"/>
              </w:rPr>
              <w:t xml:space="preserve">G Roy S </w:t>
            </w:r>
            <w:proofErr w:type="gramStart"/>
            <w:r w:rsidRPr="00AA45AD">
              <w:rPr>
                <w:rFonts w:ascii="Arial" w:eastAsia="Times New Roman" w:hAnsi="Arial" w:cs="Arial"/>
              </w:rPr>
              <w:t>Sharma,</w:t>
            </w:r>
            <w:proofErr w:type="gramEnd"/>
            <w:r w:rsidRPr="00AA45AD">
              <w:rPr>
                <w:rFonts w:ascii="Arial" w:eastAsia="Times New Roman" w:hAnsi="Arial" w:cs="Arial"/>
              </w:rPr>
              <w:t xml:space="preserve"> has been our Principal Officer and Managing Director of Asia Reinsurance Brokers (Labuan) Ltd since May 2007. He is based in our Kuala Lumpur office. Roy joined the Company in April 2006. Other than being the country manager for Malaysia he is also responsible for developing and assisting all our clients in Asia in certain specialized areas of insurance. They include among others Political, Project &amp; Credit Risk Insurance, Professional Indemnity, Management Liability Insurance, Financial Lines Insurance, Casualty Insurance, Extended Warranty Insurance and Affinity &amp; Niche Solutions.</w:t>
            </w:r>
          </w:p>
          <w:p w:rsidR="00AA45AD" w:rsidRDefault="00AA45AD" w:rsidP="00AA45AD">
            <w:pPr>
              <w:jc w:val="both"/>
              <w:rPr>
                <w:rFonts w:ascii="Arial" w:eastAsia="Times New Roman" w:hAnsi="Arial" w:cs="Arial"/>
              </w:rPr>
            </w:pPr>
            <w:r w:rsidRPr="00AA45AD">
              <w:rPr>
                <w:rFonts w:ascii="Arial" w:eastAsia="Times New Roman" w:hAnsi="Arial" w:cs="Arial"/>
              </w:rPr>
              <w:br/>
              <w:t xml:space="preserve">Roy read law in the City of London and was called to the Malaysian Bar as an Advocate &amp; Solicitor. Shortly after that in early 1994 he joined the Insurance industry as in Insurance Broker with </w:t>
            </w:r>
            <w:proofErr w:type="spellStart"/>
            <w:r w:rsidRPr="00AA45AD">
              <w:rPr>
                <w:rFonts w:ascii="Arial" w:eastAsia="Times New Roman" w:hAnsi="Arial" w:cs="Arial"/>
              </w:rPr>
              <w:t>Antah</w:t>
            </w:r>
            <w:proofErr w:type="spellEnd"/>
            <w:r w:rsidRPr="00AA45AD">
              <w:rPr>
                <w:rFonts w:ascii="Arial" w:eastAsia="Times New Roman" w:hAnsi="Arial" w:cs="Arial"/>
              </w:rPr>
              <w:t xml:space="preserve"> Sedgwick and quickly learnt his broking craft. In 1997 Roy left to join Aon Malaysia to head up the new Professional Services Division where he further</w:t>
            </w:r>
            <w:r>
              <w:rPr>
                <w:rFonts w:ascii="Arial" w:eastAsia="Times New Roman" w:hAnsi="Arial" w:cs="Arial"/>
              </w:rPr>
              <w:t xml:space="preserve"> </w:t>
            </w:r>
            <w:r w:rsidRPr="00AA45AD">
              <w:rPr>
                <w:rFonts w:ascii="Arial" w:eastAsia="Times New Roman" w:hAnsi="Arial" w:cs="Arial"/>
              </w:rPr>
              <w:t>honed his broking and sales craft. Roy went on to specialize in a variety of niche insurance products at the time. In 2003, Roy joined Aon Singapore to head up the M&amp;A and Professional Risks department there. In April 2006 Roy then joined Arthur J Gallagher Asia (L) Bhd that were rebranded Asia Reinsurance Brokers (Labuan) Ltd in 2008 as Director.</w:t>
            </w:r>
          </w:p>
          <w:p w:rsidR="00AA45AD" w:rsidRPr="00AA45AD" w:rsidRDefault="00AA45AD" w:rsidP="00AA45AD">
            <w:pPr>
              <w:jc w:val="both"/>
              <w:rPr>
                <w:rFonts w:ascii="Arial" w:eastAsia="Times New Roman" w:hAnsi="Arial" w:cs="Arial"/>
              </w:rPr>
            </w:pPr>
          </w:p>
        </w:tc>
      </w:tr>
      <w:tr w:rsidR="00AA45AD" w:rsidRPr="00AA45AD" w:rsidTr="00AA45AD">
        <w:trPr>
          <w:tblCellSpacing w:w="0" w:type="dxa"/>
        </w:trPr>
        <w:tc>
          <w:tcPr>
            <w:tcW w:w="9360" w:type="dxa"/>
            <w:gridSpan w:val="2"/>
            <w:shd w:val="clear" w:color="auto" w:fill="FFFFFF"/>
            <w:hideMark/>
          </w:tcPr>
          <w:p w:rsidR="00AA45AD" w:rsidRDefault="00AA45AD" w:rsidP="00AA45AD">
            <w:pPr>
              <w:jc w:val="both"/>
              <w:rPr>
                <w:rFonts w:ascii="Arial" w:hAnsi="Arial" w:cs="Arial"/>
                <w:b/>
                <w:bCs/>
                <w:lang w:val="en-MY"/>
              </w:rPr>
            </w:pPr>
          </w:p>
        </w:tc>
      </w:tr>
      <w:tr w:rsidR="00AA45AD" w:rsidRPr="00AA45AD" w:rsidTr="00AA45AD">
        <w:trPr>
          <w:tblCellSpacing w:w="0" w:type="dxa"/>
        </w:trPr>
        <w:tc>
          <w:tcPr>
            <w:tcW w:w="9360" w:type="dxa"/>
            <w:gridSpan w:val="2"/>
            <w:shd w:val="clear" w:color="auto" w:fill="FFFFFF"/>
            <w:hideMark/>
          </w:tcPr>
          <w:p w:rsidR="00AA45AD" w:rsidRDefault="00AA45AD" w:rsidP="00AA45AD">
            <w:pPr>
              <w:jc w:val="both"/>
              <w:rPr>
                <w:rFonts w:ascii="Arial" w:eastAsia="Times New Roman" w:hAnsi="Arial" w:cs="Arial"/>
              </w:rPr>
            </w:pPr>
            <w:r w:rsidRPr="00AA45AD">
              <w:rPr>
                <w:rFonts w:ascii="Arial" w:eastAsia="Times New Roman" w:hAnsi="Arial" w:cs="Arial"/>
              </w:rPr>
              <w:br/>
              <w:t xml:space="preserve">Roy is a sought after speaker in his area of specialization. He has presented a variety of papers in many conferences around the region. Roy is also a keen teacher and a leading trainer in his craft. He has been a regular trainer since 1995 till today with the Malaysian Insurance Institute and has updated training </w:t>
            </w:r>
            <w:proofErr w:type="spellStart"/>
            <w:r w:rsidRPr="00AA45AD">
              <w:rPr>
                <w:rFonts w:ascii="Arial" w:eastAsia="Times New Roman" w:hAnsi="Arial" w:cs="Arial"/>
              </w:rPr>
              <w:t>programmes</w:t>
            </w:r>
            <w:proofErr w:type="spellEnd"/>
            <w:r w:rsidRPr="00AA45AD">
              <w:rPr>
                <w:rFonts w:ascii="Arial" w:eastAsia="Times New Roman" w:hAnsi="Arial" w:cs="Arial"/>
              </w:rPr>
              <w:t xml:space="preserve"> for the Institute. Roy has also conducted many training seminars for insurance companies and insurance buyers around the region.</w:t>
            </w:r>
          </w:p>
          <w:p w:rsidR="00AA45AD" w:rsidRPr="00AA45AD" w:rsidRDefault="00AA45AD" w:rsidP="00AA45AD">
            <w:pPr>
              <w:jc w:val="both"/>
              <w:rPr>
                <w:rFonts w:ascii="Arial" w:eastAsia="Times New Roman" w:hAnsi="Arial" w:cs="Arial"/>
              </w:rPr>
            </w:pPr>
            <w:r w:rsidRPr="00AA45AD">
              <w:rPr>
                <w:rFonts w:ascii="Arial" w:eastAsia="Times New Roman" w:hAnsi="Arial" w:cs="Arial"/>
              </w:rPr>
              <w:t> </w:t>
            </w:r>
            <w:r w:rsidRPr="00AA45AD">
              <w:rPr>
                <w:rFonts w:ascii="Arial" w:eastAsia="Times New Roman" w:hAnsi="Arial" w:cs="Arial"/>
              </w:rPr>
              <w:br/>
              <w:t>Roy is a current Council Member of the Labuan International Insurance Association.</w:t>
            </w:r>
          </w:p>
        </w:tc>
      </w:tr>
      <w:tr w:rsidR="00AA45AD" w:rsidRPr="00AA45AD" w:rsidTr="00AA45AD">
        <w:trPr>
          <w:gridAfter w:val="1"/>
          <w:wAfter w:w="9354" w:type="dxa"/>
          <w:tblCellSpacing w:w="0" w:type="dxa"/>
        </w:trPr>
        <w:tc>
          <w:tcPr>
            <w:tcW w:w="0" w:type="auto"/>
            <w:shd w:val="clear" w:color="auto" w:fill="FFFFFF"/>
            <w:hideMark/>
          </w:tcPr>
          <w:p w:rsidR="00AA45AD" w:rsidRPr="00AA45AD" w:rsidRDefault="00AA45AD" w:rsidP="00AA45AD">
            <w:pPr>
              <w:rPr>
                <w:rFonts w:ascii="Arial" w:eastAsia="Times New Roman" w:hAnsi="Arial" w:cs="Arial"/>
                <w:color w:val="666666"/>
                <w:sz w:val="11"/>
                <w:szCs w:val="11"/>
              </w:rPr>
            </w:pPr>
          </w:p>
        </w:tc>
      </w:tr>
    </w:tbl>
    <w:p w:rsidR="00AA45AD" w:rsidRDefault="00AA45AD" w:rsidP="00123E9B">
      <w:pPr>
        <w:jc w:val="both"/>
        <w:rPr>
          <w:rFonts w:ascii="Arial" w:hAnsi="Arial" w:cs="Arial"/>
          <w:b/>
          <w:bCs/>
          <w:lang w:val="en-MY"/>
        </w:rPr>
      </w:pPr>
      <w:r w:rsidRPr="00AA45AD">
        <w:rPr>
          <w:rFonts w:ascii="Arial" w:eastAsia="Times New Roman" w:hAnsi="Arial" w:cs="Arial"/>
          <w:color w:val="666666"/>
          <w:sz w:val="11"/>
          <w:szCs w:val="11"/>
          <w:shd w:val="clear" w:color="auto" w:fill="FFFFFF"/>
        </w:rPr>
        <w:t> </w:t>
      </w:r>
    </w:p>
    <w:p w:rsidR="00AA45AD" w:rsidRDefault="00AA45AD" w:rsidP="00123E9B">
      <w:pPr>
        <w:jc w:val="both"/>
        <w:rPr>
          <w:rFonts w:ascii="Arial" w:hAnsi="Arial" w:cs="Arial"/>
          <w:b/>
          <w:bCs/>
          <w:lang w:val="en-MY"/>
        </w:rPr>
      </w:pPr>
    </w:p>
    <w:p w:rsidR="00AA45AD" w:rsidRDefault="00AA45AD" w:rsidP="00123E9B">
      <w:pPr>
        <w:jc w:val="both"/>
        <w:rPr>
          <w:rFonts w:ascii="Arial" w:hAnsi="Arial" w:cs="Arial"/>
          <w:b/>
          <w:bCs/>
          <w:lang w:val="en-MY"/>
        </w:rPr>
      </w:pPr>
    </w:p>
    <w:p w:rsidR="00760793" w:rsidRDefault="00AA45AD" w:rsidP="00123E9B">
      <w:pPr>
        <w:jc w:val="both"/>
        <w:rPr>
          <w:rFonts w:ascii="Arial" w:hAnsi="Arial" w:cs="Arial"/>
          <w:b/>
          <w:bCs/>
          <w:lang w:val="en-MY"/>
        </w:rPr>
      </w:pPr>
      <w:r>
        <w:rPr>
          <w:rFonts w:ascii="Arial" w:hAnsi="Arial" w:cs="Arial"/>
          <w:b/>
          <w:bCs/>
          <w:lang w:val="en-MY"/>
        </w:rPr>
        <w:t>MR STEVEN DEWHURST</w:t>
      </w:r>
    </w:p>
    <w:p w:rsidR="00AA45AD" w:rsidRPr="00AA45AD" w:rsidRDefault="00AA45AD" w:rsidP="00AA45AD">
      <w:pPr>
        <w:widowControl w:val="0"/>
        <w:jc w:val="both"/>
        <w:rPr>
          <w:rFonts w:ascii="Arial" w:eastAsia="Calibri" w:hAnsi="Arial" w:cs="Arial"/>
          <w:lang w:eastAsia="en-GB"/>
        </w:rPr>
      </w:pPr>
      <w:r w:rsidRPr="00AA45AD">
        <w:rPr>
          <w:rFonts w:ascii="Arial" w:eastAsia="Calibri" w:hAnsi="Arial" w:cs="Arial"/>
          <w:lang w:eastAsia="en-GB"/>
        </w:rPr>
        <w:t xml:space="preserve">Steven is a partner and an insurance and reinsurance lawyer based in Singapore.  He has a Master’s degree in European and International Trade Law and is admitted to </w:t>
      </w:r>
      <w:proofErr w:type="spellStart"/>
      <w:r w:rsidRPr="00AA45AD">
        <w:rPr>
          <w:rFonts w:ascii="Arial" w:eastAsia="Calibri" w:hAnsi="Arial" w:cs="Arial"/>
          <w:lang w:eastAsia="en-GB"/>
        </w:rPr>
        <w:t>practise</w:t>
      </w:r>
      <w:proofErr w:type="spellEnd"/>
      <w:r w:rsidRPr="00AA45AD">
        <w:rPr>
          <w:rFonts w:ascii="Arial" w:eastAsia="Calibri" w:hAnsi="Arial" w:cs="Arial"/>
          <w:lang w:eastAsia="en-GB"/>
        </w:rPr>
        <w:t xml:space="preserve"> in England &amp; Wales and Hong Kong.  He has worked in Asia since 2000.</w:t>
      </w:r>
    </w:p>
    <w:p w:rsidR="00AA45AD" w:rsidRPr="00AA45AD" w:rsidRDefault="00AA45AD" w:rsidP="00AA45AD">
      <w:pPr>
        <w:widowControl w:val="0"/>
        <w:jc w:val="both"/>
        <w:rPr>
          <w:rFonts w:ascii="Arial" w:eastAsia="Calibri" w:hAnsi="Arial" w:cs="Arial"/>
          <w:lang w:eastAsia="en-GB"/>
        </w:rPr>
      </w:pPr>
    </w:p>
    <w:p w:rsidR="00AA45AD" w:rsidRPr="00AA45AD" w:rsidRDefault="00AA45AD" w:rsidP="00AA45AD">
      <w:pPr>
        <w:widowControl w:val="0"/>
        <w:jc w:val="both"/>
        <w:rPr>
          <w:rFonts w:ascii="Arial" w:eastAsia="Calibri" w:hAnsi="Arial" w:cs="Arial"/>
          <w:lang w:eastAsia="en-GB"/>
        </w:rPr>
      </w:pPr>
      <w:r w:rsidRPr="00AA45AD">
        <w:rPr>
          <w:rFonts w:ascii="Arial" w:eastAsia="Calibri" w:hAnsi="Arial" w:cs="Arial"/>
          <w:lang w:eastAsia="en-GB"/>
        </w:rPr>
        <w:t xml:space="preserve">Steven is listed in the </w:t>
      </w:r>
      <w:r w:rsidRPr="00AA45AD">
        <w:rPr>
          <w:rFonts w:ascii="Arial" w:eastAsia="Calibri" w:hAnsi="Arial" w:cs="Arial"/>
          <w:i/>
          <w:lang w:eastAsia="en-GB"/>
        </w:rPr>
        <w:t>International Who’s Who of Insurance &amp; Reinsurance Lawyers</w:t>
      </w:r>
      <w:r w:rsidRPr="00AA45AD">
        <w:rPr>
          <w:rFonts w:ascii="Arial" w:eastAsia="Calibri" w:hAnsi="Arial" w:cs="Arial"/>
          <w:lang w:eastAsia="en-GB"/>
        </w:rPr>
        <w:t xml:space="preserve">, </w:t>
      </w:r>
      <w:proofErr w:type="spellStart"/>
      <w:r w:rsidRPr="00AA45AD">
        <w:rPr>
          <w:rFonts w:ascii="Arial" w:eastAsia="Calibri" w:hAnsi="Arial" w:cs="Arial"/>
          <w:i/>
          <w:lang w:eastAsia="en-GB"/>
        </w:rPr>
        <w:t>Euromoney’s</w:t>
      </w:r>
      <w:proofErr w:type="spellEnd"/>
      <w:r w:rsidRPr="00AA45AD">
        <w:rPr>
          <w:rFonts w:ascii="Arial" w:eastAsia="Calibri" w:hAnsi="Arial" w:cs="Arial"/>
          <w:i/>
          <w:lang w:eastAsia="en-GB"/>
        </w:rPr>
        <w:t xml:space="preserve"> Guide</w:t>
      </w:r>
      <w:r w:rsidRPr="00AA45AD">
        <w:rPr>
          <w:rFonts w:ascii="Arial" w:eastAsia="Calibri" w:hAnsi="Arial" w:cs="Arial"/>
          <w:lang w:eastAsia="en-GB"/>
        </w:rPr>
        <w:t xml:space="preserve"> to the </w:t>
      </w:r>
      <w:r w:rsidRPr="00AA45AD">
        <w:rPr>
          <w:rFonts w:ascii="Arial" w:eastAsia="Calibri" w:hAnsi="Arial" w:cs="Arial"/>
          <w:i/>
          <w:lang w:eastAsia="en-GB"/>
        </w:rPr>
        <w:t>World’s Leading Insurance &amp; Reinsurance Lawyers</w:t>
      </w:r>
      <w:r w:rsidRPr="00AA45AD">
        <w:rPr>
          <w:rFonts w:ascii="Arial" w:eastAsia="Calibri" w:hAnsi="Arial" w:cs="Arial"/>
          <w:lang w:eastAsia="en-GB"/>
        </w:rPr>
        <w:t xml:space="preserve"> and </w:t>
      </w:r>
      <w:r w:rsidRPr="00AA45AD">
        <w:rPr>
          <w:rFonts w:ascii="Arial" w:eastAsia="Calibri" w:hAnsi="Arial" w:cs="Arial"/>
          <w:i/>
          <w:lang w:eastAsia="en-GB"/>
        </w:rPr>
        <w:t>Chambers Asia-Pacific</w:t>
      </w:r>
      <w:r w:rsidRPr="00AA45AD">
        <w:rPr>
          <w:rFonts w:ascii="Arial" w:eastAsia="Calibri" w:hAnsi="Arial" w:cs="Arial"/>
          <w:lang w:eastAsia="en-GB"/>
        </w:rPr>
        <w:t xml:space="preserve">.  He has been the Contributing Editor of the chapter on insurance in </w:t>
      </w:r>
      <w:r w:rsidRPr="00AA45AD">
        <w:rPr>
          <w:rFonts w:ascii="Arial" w:eastAsia="Calibri" w:hAnsi="Arial" w:cs="Arial"/>
          <w:i/>
          <w:lang w:eastAsia="en-GB"/>
        </w:rPr>
        <w:t>Chitty on Contracts: Hong Kong Specific Contract</w:t>
      </w:r>
      <w:r w:rsidRPr="00AA45AD">
        <w:rPr>
          <w:rFonts w:ascii="Arial" w:eastAsia="Calibri" w:hAnsi="Arial" w:cs="Arial"/>
          <w:lang w:eastAsia="en-GB"/>
        </w:rPr>
        <w:t xml:space="preserve">s since 2007 and is an adviser to the Malaysian Takaful Association's working group on </w:t>
      </w:r>
      <w:proofErr w:type="spellStart"/>
      <w:r w:rsidRPr="00AA45AD">
        <w:rPr>
          <w:rFonts w:ascii="Arial" w:eastAsia="Calibri" w:hAnsi="Arial" w:cs="Arial"/>
          <w:lang w:eastAsia="en-GB"/>
        </w:rPr>
        <w:t>retakāful</w:t>
      </w:r>
      <w:proofErr w:type="spellEnd"/>
      <w:r w:rsidRPr="00AA45AD">
        <w:rPr>
          <w:rFonts w:ascii="Arial" w:eastAsia="Calibri" w:hAnsi="Arial" w:cs="Arial"/>
          <w:lang w:eastAsia="en-GB"/>
        </w:rPr>
        <w:t xml:space="preserve"> and to the Labuan International Insurance Association.  He is currently working on a Westlaw title on Singapore insurance law for the Center for International Legal Studies.</w:t>
      </w:r>
    </w:p>
    <w:p w:rsidR="00AA45AD" w:rsidRPr="00AA45AD" w:rsidRDefault="00AA45AD" w:rsidP="00AA45AD">
      <w:pPr>
        <w:widowControl w:val="0"/>
        <w:jc w:val="both"/>
        <w:rPr>
          <w:rFonts w:ascii="Arial" w:eastAsia="Calibri" w:hAnsi="Arial" w:cs="Arial"/>
          <w:lang w:eastAsia="en-GB"/>
        </w:rPr>
      </w:pPr>
    </w:p>
    <w:p w:rsidR="00AA45AD" w:rsidRPr="00AA45AD" w:rsidRDefault="00AA45AD" w:rsidP="00AA45AD">
      <w:pPr>
        <w:widowControl w:val="0"/>
        <w:jc w:val="both"/>
        <w:rPr>
          <w:rFonts w:ascii="Arial" w:eastAsia="Calibri" w:hAnsi="Arial" w:cs="Arial"/>
          <w:lang w:eastAsia="en-GB"/>
        </w:rPr>
      </w:pPr>
      <w:r w:rsidRPr="00AA45AD">
        <w:rPr>
          <w:rFonts w:ascii="Arial" w:eastAsia="Calibri" w:hAnsi="Arial" w:cs="Arial"/>
          <w:lang w:eastAsia="en-GB"/>
        </w:rPr>
        <w:t>Steven's practice focuses on Asia-Pacific and covers dispute resolution for most classes of commercial insurance and reinsurance, but particularly financial and specialty lines.  Steven also advises on insurance regulatory, corporate and commercial advice.  He leads the firm's Singapore office and Malaysia practice.</w:t>
      </w:r>
    </w:p>
    <w:p w:rsidR="00AA45AD" w:rsidRPr="00AA45AD" w:rsidRDefault="00AA45AD" w:rsidP="00AA45AD">
      <w:pPr>
        <w:widowControl w:val="0"/>
        <w:jc w:val="both"/>
        <w:rPr>
          <w:rFonts w:ascii="Arial" w:eastAsia="Calibri" w:hAnsi="Arial" w:cs="Arial"/>
          <w:lang w:eastAsia="en-GB"/>
        </w:rPr>
      </w:pPr>
    </w:p>
    <w:p w:rsidR="00AA45AD" w:rsidRPr="00AA45AD" w:rsidRDefault="00AA45AD" w:rsidP="00AA45AD">
      <w:pPr>
        <w:widowControl w:val="0"/>
        <w:jc w:val="both"/>
        <w:rPr>
          <w:rFonts w:ascii="Arial" w:eastAsia="Calibri" w:hAnsi="Arial" w:cs="Arial"/>
          <w:lang w:eastAsia="en-GB"/>
        </w:rPr>
      </w:pPr>
      <w:r w:rsidRPr="00AA45AD">
        <w:rPr>
          <w:rFonts w:ascii="Arial" w:eastAsia="Calibri" w:hAnsi="Arial" w:cs="Arial"/>
          <w:lang w:eastAsia="en-GB"/>
        </w:rPr>
        <w:t>Steven is an accredited Associate Mediator at the Singapore Mediation Centre.</w:t>
      </w:r>
    </w:p>
    <w:p w:rsidR="00760793" w:rsidRDefault="00760793" w:rsidP="00123E9B">
      <w:pPr>
        <w:jc w:val="both"/>
        <w:rPr>
          <w:rFonts w:ascii="Arial" w:hAnsi="Arial" w:cs="Arial"/>
          <w:b/>
          <w:bCs/>
          <w:lang w:val="en-MY"/>
        </w:rPr>
      </w:pPr>
    </w:p>
    <w:p w:rsidR="00123E9B" w:rsidRDefault="00AA45AD" w:rsidP="00123E9B">
      <w:pPr>
        <w:jc w:val="both"/>
        <w:rPr>
          <w:rFonts w:ascii="Arial" w:hAnsi="Arial" w:cs="Arial"/>
          <w:b/>
          <w:bCs/>
          <w:lang w:val="en-MY"/>
        </w:rPr>
      </w:pPr>
      <w:r>
        <w:rPr>
          <w:rFonts w:ascii="Arial" w:hAnsi="Arial" w:cs="Arial"/>
          <w:b/>
          <w:bCs/>
          <w:lang w:val="en-MY"/>
        </w:rPr>
        <w:lastRenderedPageBreak/>
        <w:t>W</w:t>
      </w:r>
      <w:r w:rsidR="00123E9B">
        <w:rPr>
          <w:rFonts w:ascii="Arial" w:hAnsi="Arial" w:cs="Arial"/>
          <w:b/>
          <w:bCs/>
          <w:lang w:val="en-MY"/>
        </w:rPr>
        <w:t>ORKSHOP CONTENT</w:t>
      </w: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tbl>
      <w:tblPr>
        <w:tblW w:w="10092" w:type="dxa"/>
        <w:tblInd w:w="250" w:type="dxa"/>
        <w:tblCellMar>
          <w:left w:w="0" w:type="dxa"/>
          <w:right w:w="0" w:type="dxa"/>
        </w:tblCellMar>
        <w:tblLook w:val="04A0"/>
      </w:tblPr>
      <w:tblGrid>
        <w:gridCol w:w="3260"/>
        <w:gridCol w:w="6832"/>
      </w:tblGrid>
      <w:tr w:rsidR="00123E9B" w:rsidTr="00123E9B">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3E9B" w:rsidRDefault="00123E9B">
            <w:pPr>
              <w:jc w:val="center"/>
              <w:rPr>
                <w:rFonts w:ascii="Arial" w:hAnsi="Arial" w:cs="Arial"/>
                <w:smallCaps/>
                <w:sz w:val="24"/>
                <w:szCs w:val="24"/>
              </w:rPr>
            </w:pPr>
            <w:r>
              <w:rPr>
                <w:rFonts w:ascii="Arial" w:hAnsi="Arial" w:cs="Arial"/>
                <w:smallCaps/>
              </w:rPr>
              <w:t>SPEAKER</w:t>
            </w:r>
          </w:p>
        </w:tc>
        <w:tc>
          <w:tcPr>
            <w:tcW w:w="6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jc w:val="center"/>
              <w:rPr>
                <w:rFonts w:ascii="Arial" w:hAnsi="Arial" w:cs="Arial"/>
                <w:smallCaps/>
                <w:sz w:val="24"/>
                <w:szCs w:val="24"/>
              </w:rPr>
            </w:pPr>
            <w:r>
              <w:rPr>
                <w:rFonts w:ascii="Arial" w:hAnsi="Arial" w:cs="Arial"/>
                <w:smallCaps/>
              </w:rPr>
              <w:t>TOPIC</w:t>
            </w:r>
          </w:p>
        </w:tc>
      </w:tr>
      <w:tr w:rsidR="00123E9B" w:rsidTr="00123E9B">
        <w:trPr>
          <w:trHeight w:val="1722"/>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9B" w:rsidRDefault="00123E9B">
            <w:pPr>
              <w:jc w:val="center"/>
              <w:rPr>
                <w:rFonts w:ascii="Arial" w:hAnsi="Arial" w:cs="Arial"/>
              </w:rPr>
            </w:pPr>
          </w:p>
          <w:p w:rsidR="00123E9B" w:rsidRDefault="00123E9B">
            <w:pPr>
              <w:jc w:val="center"/>
              <w:rPr>
                <w:rFonts w:ascii="Arial" w:hAnsi="Arial" w:cs="Arial"/>
              </w:rPr>
            </w:pPr>
          </w:p>
          <w:p w:rsidR="00123E9B" w:rsidRDefault="00123E9B">
            <w:pPr>
              <w:jc w:val="center"/>
              <w:rPr>
                <w:rFonts w:ascii="Arial" w:hAnsi="Arial" w:cs="Arial"/>
              </w:rPr>
            </w:pPr>
          </w:p>
          <w:p w:rsidR="00123E9B" w:rsidRDefault="00123E9B">
            <w:pPr>
              <w:jc w:val="center"/>
              <w:rPr>
                <w:rFonts w:ascii="Arial" w:hAnsi="Arial" w:cs="Arial"/>
              </w:rPr>
            </w:pPr>
          </w:p>
          <w:p w:rsidR="00123E9B" w:rsidRDefault="00123E9B">
            <w:pPr>
              <w:jc w:val="center"/>
              <w:rPr>
                <w:rFonts w:ascii="Arial" w:hAnsi="Arial" w:cs="Arial"/>
                <w:b/>
                <w:bCs/>
              </w:rPr>
            </w:pPr>
            <w:r>
              <w:rPr>
                <w:rFonts w:ascii="Arial" w:hAnsi="Arial" w:cs="Arial"/>
                <w:b/>
                <w:bCs/>
              </w:rPr>
              <w:t>MR ROY SHARMA</w:t>
            </w:r>
          </w:p>
          <w:p w:rsidR="00123E9B" w:rsidRDefault="00123E9B">
            <w:pPr>
              <w:jc w:val="center"/>
              <w:rPr>
                <w:rFonts w:ascii="Arial" w:hAnsi="Arial" w:cs="Arial"/>
                <w:b/>
                <w:bCs/>
              </w:rPr>
            </w:pPr>
            <w:r>
              <w:rPr>
                <w:rFonts w:ascii="Arial" w:hAnsi="Arial" w:cs="Arial"/>
              </w:rPr>
              <w:t xml:space="preserve">ASIA REINSURANCE BROKERS (LABUAN) LTD. </w:t>
            </w:r>
          </w:p>
        </w:tc>
        <w:tc>
          <w:tcPr>
            <w:tcW w:w="6832" w:type="dxa"/>
            <w:tcBorders>
              <w:top w:val="nil"/>
              <w:left w:val="nil"/>
              <w:bottom w:val="single" w:sz="8" w:space="0" w:color="auto"/>
              <w:right w:val="single" w:sz="8" w:space="0" w:color="auto"/>
            </w:tcBorders>
            <w:tcMar>
              <w:top w:w="0" w:type="dxa"/>
              <w:left w:w="108" w:type="dxa"/>
              <w:bottom w:w="0" w:type="dxa"/>
              <w:right w:w="108" w:type="dxa"/>
            </w:tcMar>
          </w:tcPr>
          <w:p w:rsidR="00123E9B" w:rsidRDefault="00123E9B">
            <w:pPr>
              <w:ind w:left="1440"/>
              <w:rPr>
                <w:rFonts w:ascii="Arial" w:hAnsi="Arial" w:cs="Arial"/>
              </w:rPr>
            </w:pPr>
          </w:p>
          <w:p w:rsidR="00123E9B" w:rsidRDefault="00123E9B" w:rsidP="005348AA">
            <w:pPr>
              <w:numPr>
                <w:ilvl w:val="0"/>
                <w:numId w:val="3"/>
              </w:numPr>
              <w:spacing w:line="480" w:lineRule="auto"/>
              <w:rPr>
                <w:rFonts w:ascii="Arial" w:hAnsi="Arial" w:cs="Arial"/>
              </w:rPr>
            </w:pPr>
            <w:r>
              <w:rPr>
                <w:rFonts w:ascii="Arial" w:hAnsi="Arial" w:cs="Arial"/>
              </w:rPr>
              <w:t xml:space="preserve">Why is there a need for D&amp;O Insurance? </w:t>
            </w:r>
          </w:p>
          <w:p w:rsidR="00123E9B" w:rsidRDefault="00123E9B" w:rsidP="005348AA">
            <w:pPr>
              <w:numPr>
                <w:ilvl w:val="0"/>
                <w:numId w:val="3"/>
              </w:numPr>
              <w:spacing w:line="480" w:lineRule="auto"/>
              <w:rPr>
                <w:rFonts w:ascii="Arial" w:hAnsi="Arial" w:cs="Arial"/>
              </w:rPr>
            </w:pPr>
            <w:r>
              <w:rPr>
                <w:rFonts w:ascii="Arial" w:hAnsi="Arial" w:cs="Arial"/>
              </w:rPr>
              <w:t xml:space="preserve">Identification of the Liability Risk exposures faced by D&amp;O's </w:t>
            </w:r>
          </w:p>
          <w:p w:rsidR="00123E9B" w:rsidRDefault="00123E9B" w:rsidP="005348AA">
            <w:pPr>
              <w:numPr>
                <w:ilvl w:val="0"/>
                <w:numId w:val="3"/>
              </w:numPr>
              <w:spacing w:line="480" w:lineRule="auto"/>
              <w:rPr>
                <w:rFonts w:ascii="Arial" w:hAnsi="Arial" w:cs="Arial"/>
              </w:rPr>
            </w:pPr>
            <w:r>
              <w:rPr>
                <w:rFonts w:ascii="Arial" w:hAnsi="Arial" w:cs="Arial"/>
              </w:rPr>
              <w:t xml:space="preserve">What is the legal standard? </w:t>
            </w:r>
          </w:p>
          <w:p w:rsidR="00123E9B" w:rsidRDefault="00123E9B" w:rsidP="005348AA">
            <w:pPr>
              <w:numPr>
                <w:ilvl w:val="0"/>
                <w:numId w:val="3"/>
              </w:numPr>
              <w:spacing w:line="480" w:lineRule="auto"/>
              <w:rPr>
                <w:rFonts w:ascii="Arial" w:hAnsi="Arial" w:cs="Arial"/>
              </w:rPr>
            </w:pPr>
            <w:r>
              <w:rPr>
                <w:rFonts w:ascii="Arial" w:hAnsi="Arial" w:cs="Arial"/>
              </w:rPr>
              <w:t xml:space="preserve">Who can sue and for what? </w:t>
            </w:r>
          </w:p>
          <w:p w:rsidR="00123E9B" w:rsidRDefault="00123E9B" w:rsidP="005348AA">
            <w:pPr>
              <w:numPr>
                <w:ilvl w:val="0"/>
                <w:numId w:val="3"/>
              </w:numPr>
              <w:spacing w:line="480" w:lineRule="auto"/>
              <w:rPr>
                <w:rFonts w:ascii="Arial" w:hAnsi="Arial" w:cs="Arial"/>
              </w:rPr>
            </w:pPr>
            <w:r>
              <w:rPr>
                <w:rFonts w:ascii="Arial" w:hAnsi="Arial" w:cs="Arial"/>
              </w:rPr>
              <w:t xml:space="preserve">What will the D&amp;O policy cover? </w:t>
            </w:r>
          </w:p>
          <w:p w:rsidR="00123E9B" w:rsidRDefault="00123E9B" w:rsidP="005348AA">
            <w:pPr>
              <w:numPr>
                <w:ilvl w:val="0"/>
                <w:numId w:val="3"/>
              </w:numPr>
              <w:spacing w:line="480" w:lineRule="auto"/>
              <w:rPr>
                <w:rFonts w:ascii="Arial" w:hAnsi="Arial" w:cs="Arial"/>
              </w:rPr>
            </w:pPr>
            <w:r>
              <w:rPr>
                <w:rFonts w:ascii="Arial" w:hAnsi="Arial" w:cs="Arial"/>
              </w:rPr>
              <w:t xml:space="preserve">Some claims scenarios for discussion </w:t>
            </w:r>
          </w:p>
          <w:p w:rsidR="00123E9B" w:rsidRDefault="00123E9B" w:rsidP="005348AA">
            <w:pPr>
              <w:numPr>
                <w:ilvl w:val="0"/>
                <w:numId w:val="3"/>
              </w:numPr>
              <w:spacing w:line="480" w:lineRule="auto"/>
              <w:rPr>
                <w:rFonts w:ascii="Arial" w:hAnsi="Arial" w:cs="Arial"/>
              </w:rPr>
            </w:pPr>
            <w:r>
              <w:rPr>
                <w:rFonts w:ascii="Arial" w:hAnsi="Arial" w:cs="Arial"/>
              </w:rPr>
              <w:t xml:space="preserve">How should a D&amp;O claim be managed? </w:t>
            </w:r>
          </w:p>
          <w:p w:rsidR="00123E9B" w:rsidRDefault="00123E9B">
            <w:pPr>
              <w:rPr>
                <w:rFonts w:ascii="Arial" w:hAnsi="Arial" w:cs="Arial"/>
              </w:rPr>
            </w:pPr>
          </w:p>
        </w:tc>
      </w:tr>
      <w:tr w:rsidR="00123E9B" w:rsidTr="00123E9B">
        <w:trPr>
          <w:trHeight w:val="697"/>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9B" w:rsidRDefault="00123E9B">
            <w:pPr>
              <w:rPr>
                <w:rFonts w:ascii="Arial" w:hAnsi="Arial" w:cs="Arial"/>
                <w:b/>
                <w:bCs/>
                <w:smallCaps/>
              </w:rPr>
            </w:pPr>
          </w:p>
          <w:p w:rsidR="00123E9B" w:rsidRDefault="00123E9B">
            <w:pPr>
              <w:jc w:val="center"/>
              <w:rPr>
                <w:rFonts w:ascii="Arial" w:hAnsi="Arial" w:cs="Arial"/>
              </w:rPr>
            </w:pPr>
            <w:r>
              <w:rPr>
                <w:rFonts w:ascii="Arial" w:hAnsi="Arial" w:cs="Arial"/>
                <w:b/>
                <w:bCs/>
              </w:rPr>
              <w:t xml:space="preserve">MR STEVEN DEWHURST </w:t>
            </w:r>
          </w:p>
          <w:p w:rsidR="00123E9B" w:rsidRDefault="00123E9B">
            <w:pPr>
              <w:jc w:val="center"/>
              <w:rPr>
                <w:rFonts w:ascii="Arial" w:hAnsi="Arial" w:cs="Arial"/>
              </w:rPr>
            </w:pPr>
            <w:r>
              <w:rPr>
                <w:rFonts w:ascii="Arial" w:hAnsi="Arial" w:cs="Arial"/>
              </w:rPr>
              <w:t>DAC BEACHCROFT</w:t>
            </w:r>
          </w:p>
          <w:p w:rsidR="00123E9B" w:rsidRDefault="00123E9B">
            <w:pPr>
              <w:jc w:val="center"/>
              <w:rPr>
                <w:rFonts w:ascii="Arial" w:hAnsi="Arial" w:cs="Arial"/>
              </w:rPr>
            </w:pPr>
          </w:p>
        </w:tc>
        <w:tc>
          <w:tcPr>
            <w:tcW w:w="6832" w:type="dxa"/>
            <w:tcBorders>
              <w:top w:val="nil"/>
              <w:left w:val="nil"/>
              <w:bottom w:val="single" w:sz="8" w:space="0" w:color="auto"/>
              <w:right w:val="single" w:sz="8" w:space="0" w:color="auto"/>
            </w:tcBorders>
            <w:tcMar>
              <w:top w:w="0" w:type="dxa"/>
              <w:left w:w="108" w:type="dxa"/>
              <w:bottom w:w="0" w:type="dxa"/>
              <w:right w:w="108" w:type="dxa"/>
            </w:tcMar>
          </w:tcPr>
          <w:p w:rsidR="00123E9B" w:rsidRDefault="00123E9B">
            <w:pPr>
              <w:rPr>
                <w:rFonts w:ascii="Arial" w:hAnsi="Arial" w:cs="Arial"/>
                <w:b/>
                <w:bCs/>
                <w:highlight w:val="yellow"/>
              </w:rPr>
            </w:pPr>
          </w:p>
          <w:p w:rsidR="00123E9B" w:rsidRDefault="00123E9B" w:rsidP="005348AA">
            <w:pPr>
              <w:numPr>
                <w:ilvl w:val="0"/>
                <w:numId w:val="4"/>
              </w:numPr>
              <w:spacing w:line="360" w:lineRule="auto"/>
              <w:rPr>
                <w:rFonts w:ascii="Arial" w:hAnsi="Arial" w:cs="Arial"/>
              </w:rPr>
            </w:pPr>
            <w:r>
              <w:rPr>
                <w:rFonts w:ascii="Arial" w:hAnsi="Arial" w:cs="Arial"/>
                <w:lang w:val="en-GB"/>
              </w:rPr>
              <w:t>Understanding the Mechanics of D&amp;O Policies</w:t>
            </w:r>
          </w:p>
        </w:tc>
      </w:tr>
    </w:tbl>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p w:rsidR="00123E9B" w:rsidRDefault="00123E9B" w:rsidP="00123E9B">
      <w:pPr>
        <w:rPr>
          <w:rFonts w:ascii="Arial" w:hAnsi="Arial" w:cs="Arial"/>
          <w:b/>
          <w:bCs/>
          <w:lang w:val="en-MY"/>
        </w:rPr>
      </w:pPr>
      <w:r>
        <w:rPr>
          <w:rFonts w:ascii="Arial" w:hAnsi="Arial" w:cs="Arial"/>
          <w:b/>
          <w:bCs/>
          <w:lang w:val="en-MY"/>
        </w:rPr>
        <w:t xml:space="preserve">OBJECTIVE OF THE SESSION </w:t>
      </w:r>
    </w:p>
    <w:p w:rsidR="00123E9B" w:rsidRDefault="00123E9B" w:rsidP="00123E9B">
      <w:pPr>
        <w:rPr>
          <w:rFonts w:ascii="Arial" w:hAnsi="Arial" w:cs="Arial"/>
          <w:b/>
          <w:bCs/>
          <w:lang w:val="en-MY"/>
        </w:rPr>
      </w:pPr>
    </w:p>
    <w:p w:rsidR="00123E9B" w:rsidRDefault="00123E9B" w:rsidP="00123E9B">
      <w:pPr>
        <w:spacing w:line="276" w:lineRule="auto"/>
        <w:jc w:val="both"/>
        <w:rPr>
          <w:rFonts w:ascii="Arial" w:hAnsi="Arial" w:cs="Arial"/>
          <w:lang w:val="en-MY"/>
        </w:rPr>
      </w:pPr>
      <w:r>
        <w:rPr>
          <w:rFonts w:ascii="Arial" w:hAnsi="Arial" w:cs="Arial"/>
          <w:lang w:val="en-MY"/>
        </w:rPr>
        <w:t xml:space="preserve">This seminar will provide an in-depth look at the </w:t>
      </w:r>
      <w:proofErr w:type="spellStart"/>
      <w:r>
        <w:rPr>
          <w:rFonts w:ascii="Arial" w:hAnsi="Arial" w:cs="Arial"/>
          <w:lang w:val="en-MY"/>
        </w:rPr>
        <w:t>coverages</w:t>
      </w:r>
      <w:proofErr w:type="spellEnd"/>
      <w:r>
        <w:rPr>
          <w:rFonts w:ascii="Arial" w:hAnsi="Arial" w:cs="Arial"/>
          <w:lang w:val="en-MY"/>
        </w:rPr>
        <w:t xml:space="preserve"> available in market-leading D&amp;O policies, from the perspective of how they actually work in practice, not in theory.  We will look at the various sources of indemnification available to directors and officers and identify where D&amp;O policies – as just one of a number of sources of indemnification – fit in to the risk management matrix.  We will also look at specific issues affecting D&amp;O policies, such as whose asset a D&amp;O policy represents in insolvency, knowledge and severability, how the professional services exclusion operates and exhaustion of limits by payment of defence costs.  We will also look at techniques that can be used to manage a D&amp;O claim and minimise the risk of cost explosions.</w:t>
      </w: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r>
        <w:rPr>
          <w:rFonts w:ascii="Arial" w:hAnsi="Arial" w:cs="Arial"/>
          <w:b/>
          <w:bCs/>
          <w:lang w:val="en-MY"/>
        </w:rPr>
        <w:t>PARTICIPANT FEE</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p>
    <w:p w:rsidR="00112C3E" w:rsidRDefault="00112C3E" w:rsidP="00123E9B">
      <w:pPr>
        <w:jc w:val="both"/>
        <w:rPr>
          <w:rFonts w:ascii="Arial" w:hAnsi="Arial" w:cs="Arial"/>
          <w:lang w:val="en-MY"/>
        </w:rPr>
      </w:pPr>
    </w:p>
    <w:p w:rsidR="00123E9B" w:rsidRDefault="00123E9B" w:rsidP="00123E9B">
      <w:pPr>
        <w:jc w:val="both"/>
        <w:rPr>
          <w:rFonts w:ascii="Arial" w:hAnsi="Arial" w:cs="Arial"/>
          <w:b/>
          <w:bCs/>
          <w:lang w:val="en-MY"/>
        </w:rPr>
      </w:pPr>
      <w:r>
        <w:rPr>
          <w:rFonts w:ascii="Arial" w:hAnsi="Arial" w:cs="Arial"/>
          <w:b/>
          <w:bCs/>
          <w:lang w:val="en-MY"/>
        </w:rPr>
        <w:lastRenderedPageBreak/>
        <w:t>Complimentary Seat Entitlement:</w:t>
      </w:r>
    </w:p>
    <w:p w:rsidR="00123E9B" w:rsidRDefault="00123E9B" w:rsidP="00123E9B">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123E9B" w:rsidTr="00123E9B">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123E9B" w:rsidTr="00123E9B">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E9B" w:rsidRDefault="00123E9B">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123E9B" w:rsidTr="00123E9B">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3E9B" w:rsidRDefault="00123E9B">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123E9B" w:rsidRDefault="00123E9B" w:rsidP="00123E9B">
      <w:pPr>
        <w:jc w:val="both"/>
        <w:rPr>
          <w:rFonts w:ascii="Arial" w:hAnsi="Arial" w:cs="Arial"/>
          <w:b/>
          <w:bCs/>
        </w:rPr>
      </w:pP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r>
        <w:rPr>
          <w:rFonts w:ascii="Arial" w:hAnsi="Arial" w:cs="Arial"/>
          <w:b/>
          <w:bCs/>
          <w:lang w:val="en-MY"/>
        </w:rPr>
        <w:t>REGISTRATION</w:t>
      </w: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lang w:val="en-MY"/>
        </w:rPr>
      </w:pPr>
      <w:r>
        <w:rPr>
          <w:rFonts w:ascii="Arial" w:hAnsi="Arial" w:cs="Arial"/>
          <w:lang w:val="en-MY"/>
        </w:rPr>
        <w:t xml:space="preserve">The Registration Form is attached herewith. </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123E9B" w:rsidRDefault="00123E9B" w:rsidP="00123E9B">
      <w:pPr>
        <w:jc w:val="both"/>
        <w:rPr>
          <w:rFonts w:ascii="Arial" w:hAnsi="Arial" w:cs="Arial"/>
          <w:lang w:val="en-MY"/>
        </w:rPr>
      </w:pPr>
    </w:p>
    <w:p w:rsidR="00123E9B" w:rsidRDefault="00123E9B" w:rsidP="00123E9B">
      <w:pPr>
        <w:jc w:val="both"/>
        <w:rPr>
          <w:rFonts w:ascii="Arial" w:hAnsi="Arial" w:cs="Arial"/>
          <w:b/>
          <w:bCs/>
          <w:i/>
          <w:iCs/>
          <w:lang w:val="en-MY"/>
        </w:rPr>
      </w:pPr>
      <w:r>
        <w:rPr>
          <w:rFonts w:ascii="Arial" w:hAnsi="Arial" w:cs="Arial"/>
          <w:b/>
          <w:bCs/>
          <w:i/>
          <w:iCs/>
          <w:lang w:val="en-MY"/>
        </w:rPr>
        <w:t>(The registration will be confirmed upon receiving the full payment)</w:t>
      </w: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p>
    <w:p w:rsidR="00123E9B" w:rsidRDefault="00123E9B" w:rsidP="00123E9B">
      <w:pPr>
        <w:jc w:val="both"/>
        <w:rPr>
          <w:rFonts w:ascii="Arial" w:hAnsi="Arial" w:cs="Arial"/>
          <w:b/>
          <w:bCs/>
          <w:lang w:val="en-MY"/>
        </w:rPr>
      </w:pPr>
      <w:r>
        <w:rPr>
          <w:rFonts w:ascii="Arial" w:hAnsi="Arial" w:cs="Arial"/>
          <w:b/>
          <w:bCs/>
          <w:lang w:val="en-MY"/>
        </w:rPr>
        <w:t xml:space="preserve">CLOSING DATE </w:t>
      </w:r>
    </w:p>
    <w:p w:rsidR="00123E9B" w:rsidRDefault="00123E9B" w:rsidP="00123E9B">
      <w:pPr>
        <w:jc w:val="both"/>
        <w:rPr>
          <w:rFonts w:ascii="Arial" w:hAnsi="Arial" w:cs="Arial"/>
          <w:lang w:val="en-MY"/>
        </w:rPr>
      </w:pPr>
    </w:p>
    <w:p w:rsidR="00123E9B" w:rsidRDefault="00123E9B" w:rsidP="00123E9B">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Friday, 30 September 2016. </w:t>
      </w:r>
    </w:p>
    <w:p w:rsidR="00123E9B" w:rsidRDefault="00123E9B" w:rsidP="00123E9B">
      <w:pPr>
        <w:ind w:right="30"/>
        <w:jc w:val="both"/>
        <w:rPr>
          <w:rFonts w:ascii="Arial" w:hAnsi="Arial" w:cs="Arial"/>
          <w:b/>
          <w:bCs/>
          <w:lang w:val="en-MY"/>
        </w:rPr>
      </w:pPr>
    </w:p>
    <w:p w:rsidR="00123E9B" w:rsidRDefault="00123E9B" w:rsidP="00123E9B">
      <w:pPr>
        <w:ind w:right="30"/>
        <w:jc w:val="both"/>
        <w:rPr>
          <w:rFonts w:ascii="Arial" w:hAnsi="Arial" w:cs="Arial"/>
          <w:lang w:val="en-MY"/>
        </w:rPr>
      </w:pPr>
    </w:p>
    <w:p w:rsidR="00123E9B" w:rsidRDefault="00123E9B" w:rsidP="00123E9B">
      <w:pPr>
        <w:jc w:val="both"/>
        <w:rPr>
          <w:rFonts w:ascii="Arial" w:hAnsi="Arial" w:cs="Arial"/>
          <w:b/>
          <w:bCs/>
          <w:lang w:val="en-MY"/>
        </w:rPr>
      </w:pPr>
      <w:r>
        <w:rPr>
          <w:rFonts w:ascii="Arial" w:hAnsi="Arial" w:cs="Arial"/>
          <w:b/>
          <w:bCs/>
          <w:lang w:val="en-MY"/>
        </w:rPr>
        <w:t xml:space="preserve">FURTHER INFORMATION </w:t>
      </w:r>
    </w:p>
    <w:p w:rsidR="00123E9B" w:rsidRDefault="00123E9B" w:rsidP="00123E9B">
      <w:pPr>
        <w:jc w:val="both"/>
        <w:rPr>
          <w:rFonts w:ascii="Arial" w:hAnsi="Arial" w:cs="Arial"/>
          <w:b/>
          <w:bCs/>
          <w:lang w:val="en-MY"/>
        </w:rPr>
      </w:pPr>
    </w:p>
    <w:p w:rsidR="00123E9B" w:rsidRDefault="00123E9B" w:rsidP="00123E9B">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123E9B" w:rsidRDefault="00123E9B" w:rsidP="00123E9B">
      <w:pPr>
        <w:jc w:val="both"/>
        <w:rPr>
          <w:rFonts w:ascii="Arial" w:hAnsi="Arial" w:cs="Arial"/>
          <w:lang w:val="en-MY"/>
        </w:rPr>
      </w:pPr>
    </w:p>
    <w:p w:rsidR="00123E9B" w:rsidRDefault="00123E9B" w:rsidP="00123E9B">
      <w:pPr>
        <w:jc w:val="both"/>
        <w:rPr>
          <w:rFonts w:ascii="Arial" w:hAnsi="Arial" w:cs="Arial"/>
          <w:b/>
          <w:bCs/>
          <w:lang w:val="en-MY"/>
        </w:rPr>
      </w:pPr>
      <w:r>
        <w:rPr>
          <w:rFonts w:ascii="Arial" w:hAnsi="Arial" w:cs="Arial"/>
          <w:b/>
          <w:bCs/>
          <w:lang w:val="en-MY"/>
        </w:rPr>
        <w:t>We look forward to your early registration.</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r>
        <w:rPr>
          <w:rFonts w:ascii="Arial" w:hAnsi="Arial" w:cs="Arial"/>
          <w:lang w:val="en-MY"/>
        </w:rPr>
        <w:t>Thank you.</w:t>
      </w: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p>
    <w:p w:rsidR="00123E9B" w:rsidRDefault="00123E9B" w:rsidP="00123E9B">
      <w:pPr>
        <w:jc w:val="both"/>
        <w:rPr>
          <w:rFonts w:ascii="Arial" w:hAnsi="Arial" w:cs="Arial"/>
          <w:lang w:val="en-MY"/>
        </w:rPr>
      </w:pPr>
      <w:r>
        <w:rPr>
          <w:rFonts w:ascii="Arial" w:hAnsi="Arial" w:cs="Arial"/>
          <w:lang w:val="en-MY"/>
        </w:rPr>
        <w:t>Yours very truly,</w:t>
      </w:r>
    </w:p>
    <w:p w:rsidR="00123E9B" w:rsidRDefault="00123E9B" w:rsidP="00123E9B">
      <w:pPr>
        <w:jc w:val="both"/>
        <w:rPr>
          <w:rFonts w:ascii="Arial" w:hAnsi="Arial" w:cs="Arial"/>
          <w:lang w:val="en-MY"/>
        </w:rPr>
      </w:pPr>
    </w:p>
    <w:p w:rsidR="00483D2C" w:rsidRDefault="00483D2C"/>
    <w:p w:rsidR="00123E9B" w:rsidRDefault="00123E9B"/>
    <w:sectPr w:rsidR="00123E9B" w:rsidSect="00483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61400EB1"/>
    <w:multiLevelType w:val="hybridMultilevel"/>
    <w:tmpl w:val="94F86984"/>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7E9623E2"/>
    <w:multiLevelType w:val="hybridMultilevel"/>
    <w:tmpl w:val="025E41A0"/>
    <w:lvl w:ilvl="0" w:tplc="4409000B">
      <w:start w:val="1"/>
      <w:numFmt w:val="bullet"/>
      <w:lvlText w:val=""/>
      <w:lvlJc w:val="left"/>
      <w:pPr>
        <w:ind w:left="720" w:hanging="360"/>
      </w:pPr>
      <w:rPr>
        <w:rFonts w:ascii="Wingdings" w:hAnsi="Wingding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3E9B"/>
    <w:rsid w:val="00112C3E"/>
    <w:rsid w:val="00123E9B"/>
    <w:rsid w:val="00124CEF"/>
    <w:rsid w:val="002F1D01"/>
    <w:rsid w:val="003A441F"/>
    <w:rsid w:val="003B59D7"/>
    <w:rsid w:val="00483D2C"/>
    <w:rsid w:val="004D0407"/>
    <w:rsid w:val="004E1368"/>
    <w:rsid w:val="00760793"/>
    <w:rsid w:val="007F3D13"/>
    <w:rsid w:val="00AA45AD"/>
    <w:rsid w:val="00C16969"/>
    <w:rsid w:val="00C91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9B"/>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123E9B"/>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23E9B"/>
    <w:rPr>
      <w:rFonts w:ascii="Times New Roman" w:hAnsi="Times New Roman" w:cs="Times New Roman"/>
      <w:b/>
      <w:bCs/>
      <w:sz w:val="23"/>
      <w:szCs w:val="23"/>
    </w:rPr>
  </w:style>
  <w:style w:type="character" w:styleId="Hyperlink">
    <w:name w:val="Hyperlink"/>
    <w:basedOn w:val="DefaultParagraphFont"/>
    <w:uiPriority w:val="99"/>
    <w:semiHidden/>
    <w:unhideWhenUsed/>
    <w:rsid w:val="00123E9B"/>
    <w:rPr>
      <w:color w:val="0000FF"/>
      <w:u w:val="single"/>
    </w:rPr>
  </w:style>
  <w:style w:type="paragraph" w:styleId="ListBullet">
    <w:name w:val="List Bullet"/>
    <w:basedOn w:val="Normal"/>
    <w:uiPriority w:val="99"/>
    <w:unhideWhenUsed/>
    <w:rsid w:val="00123E9B"/>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123E9B"/>
    <w:pPr>
      <w:jc w:val="both"/>
    </w:pPr>
    <w:rPr>
      <w:rFonts w:ascii="Arial" w:hAnsi="Arial" w:cs="Arial"/>
    </w:rPr>
  </w:style>
  <w:style w:type="character" w:customStyle="1" w:styleId="BodyText2Char">
    <w:name w:val="Body Text 2 Char"/>
    <w:basedOn w:val="DefaultParagraphFont"/>
    <w:link w:val="BodyText2"/>
    <w:uiPriority w:val="99"/>
    <w:semiHidden/>
    <w:rsid w:val="00123E9B"/>
    <w:rPr>
      <w:rFonts w:ascii="Arial" w:hAnsi="Arial" w:cs="Arial"/>
    </w:rPr>
  </w:style>
  <w:style w:type="paragraph" w:styleId="BalloonText">
    <w:name w:val="Balloon Text"/>
    <w:basedOn w:val="Normal"/>
    <w:link w:val="BalloonTextChar"/>
    <w:uiPriority w:val="99"/>
    <w:semiHidden/>
    <w:unhideWhenUsed/>
    <w:rsid w:val="00123E9B"/>
    <w:rPr>
      <w:rFonts w:ascii="Tahoma" w:hAnsi="Tahoma" w:cs="Tahoma"/>
      <w:sz w:val="16"/>
      <w:szCs w:val="16"/>
    </w:rPr>
  </w:style>
  <w:style w:type="character" w:customStyle="1" w:styleId="BalloonTextChar">
    <w:name w:val="Balloon Text Char"/>
    <w:basedOn w:val="DefaultParagraphFont"/>
    <w:link w:val="BalloonText"/>
    <w:uiPriority w:val="99"/>
    <w:semiHidden/>
    <w:rsid w:val="00123E9B"/>
    <w:rPr>
      <w:rFonts w:ascii="Tahoma" w:hAnsi="Tahoma" w:cs="Tahoma"/>
      <w:sz w:val="16"/>
      <w:szCs w:val="16"/>
    </w:rPr>
  </w:style>
  <w:style w:type="character" w:customStyle="1" w:styleId="apple-converted-space">
    <w:name w:val="apple-converted-space"/>
    <w:basedOn w:val="DefaultParagraphFont"/>
    <w:rsid w:val="00AA45AD"/>
  </w:style>
</w:styles>
</file>

<file path=word/webSettings.xml><?xml version="1.0" encoding="utf-8"?>
<w:webSettings xmlns:r="http://schemas.openxmlformats.org/officeDocument/2006/relationships" xmlns:w="http://schemas.openxmlformats.org/wordprocessingml/2006/main">
  <w:divs>
    <w:div w:id="581724347">
      <w:bodyDiv w:val="1"/>
      <w:marLeft w:val="0"/>
      <w:marRight w:val="0"/>
      <w:marTop w:val="0"/>
      <w:marBottom w:val="0"/>
      <w:divBdr>
        <w:top w:val="none" w:sz="0" w:space="0" w:color="auto"/>
        <w:left w:val="none" w:sz="0" w:space="0" w:color="auto"/>
        <w:bottom w:val="none" w:sz="0" w:space="0" w:color="auto"/>
        <w:right w:val="none" w:sz="0" w:space="0" w:color="auto"/>
      </w:divBdr>
    </w:div>
    <w:div w:id="6448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E6B.84D903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5309</Characters>
  <Application>Microsoft Office Word</Application>
  <DocSecurity>0</DocSecurity>
  <Lines>44</Lines>
  <Paragraphs>12</Paragraphs>
  <ScaleCrop>false</ScaleCrop>
  <Company>SJGT</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5</cp:revision>
  <dcterms:created xsi:type="dcterms:W3CDTF">2016-09-19T01:03:00Z</dcterms:created>
  <dcterms:modified xsi:type="dcterms:W3CDTF">2016-09-20T08:36:00Z</dcterms:modified>
</cp:coreProperties>
</file>