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r>
        <w:rPr>
          <w:rFonts w:ascii="Arial" w:hAnsi="Arial" w:cs="Arial"/>
          <w:lang w:val="en-MY"/>
        </w:rPr>
        <w:t>Date: 12 October 2015</w:t>
      </w: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r>
        <w:rPr>
          <w:rFonts w:ascii="Arial" w:hAnsi="Arial" w:cs="Arial"/>
          <w:lang w:val="en-MY"/>
        </w:rPr>
        <w:t>&lt;Name&gt;</w:t>
      </w:r>
    </w:p>
    <w:p w:rsidR="00C12FB7" w:rsidRDefault="00C12FB7" w:rsidP="00C12FB7">
      <w:pPr>
        <w:rPr>
          <w:rFonts w:ascii="Arial" w:hAnsi="Arial" w:cs="Arial"/>
          <w:lang w:val="en-MY"/>
        </w:rPr>
      </w:pPr>
      <w:r>
        <w:rPr>
          <w:rFonts w:ascii="Arial" w:hAnsi="Arial" w:cs="Arial"/>
          <w:lang w:val="en-MY"/>
        </w:rPr>
        <w:t>&lt;Company&gt;</w:t>
      </w:r>
    </w:p>
    <w:p w:rsidR="00C12FB7" w:rsidRDefault="00C12FB7" w:rsidP="00C12FB7">
      <w:pPr>
        <w:rPr>
          <w:rFonts w:ascii="Arial" w:hAnsi="Arial" w:cs="Arial"/>
          <w:lang w:val="en-MY"/>
        </w:rPr>
      </w:pPr>
      <w:r>
        <w:rPr>
          <w:rFonts w:ascii="Arial" w:hAnsi="Arial" w:cs="Arial"/>
          <w:lang w:val="en-MY"/>
        </w:rPr>
        <w:t>&lt;Address&gt;</w:t>
      </w: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p>
    <w:p w:rsidR="00C12FB7" w:rsidRDefault="00C12FB7" w:rsidP="00C12FB7">
      <w:pPr>
        <w:rPr>
          <w:rFonts w:ascii="Arial" w:hAnsi="Arial" w:cs="Arial"/>
          <w:lang w:val="en-MY"/>
        </w:rPr>
      </w:pPr>
      <w:r>
        <w:rPr>
          <w:rFonts w:ascii="Arial" w:hAnsi="Arial" w:cs="Arial"/>
          <w:lang w:val="en-MY"/>
        </w:rPr>
        <w:t>Dear Sir / Madam,</w:t>
      </w:r>
    </w:p>
    <w:p w:rsidR="00C12FB7" w:rsidRDefault="00C12FB7" w:rsidP="00C12FB7">
      <w:pPr>
        <w:jc w:val="both"/>
        <w:rPr>
          <w:rFonts w:ascii="Arial" w:hAnsi="Arial" w:cs="Arial"/>
          <w:lang w:val="en-MY"/>
        </w:rPr>
      </w:pPr>
    </w:p>
    <w:p w:rsidR="00C12FB7" w:rsidRDefault="00C12FB7" w:rsidP="00C12FB7">
      <w:pPr>
        <w:pStyle w:val="Heading7"/>
        <w:jc w:val="both"/>
        <w:rPr>
          <w:rFonts w:ascii="Arial" w:hAnsi="Arial" w:cs="Arial"/>
          <w:sz w:val="22"/>
          <w:szCs w:val="22"/>
        </w:rPr>
      </w:pPr>
      <w:r>
        <w:rPr>
          <w:rFonts w:ascii="Arial" w:hAnsi="Arial" w:cs="Arial"/>
          <w:sz w:val="22"/>
          <w:szCs w:val="22"/>
        </w:rPr>
        <w:t>SEMINAR ON:</w:t>
      </w:r>
    </w:p>
    <w:p w:rsidR="00C12FB7" w:rsidRDefault="00C12FB7" w:rsidP="00C12FB7">
      <w:pPr>
        <w:jc w:val="both"/>
        <w:rPr>
          <w:rFonts w:ascii="Arial" w:hAnsi="Arial" w:cs="Arial"/>
          <w:sz w:val="10"/>
          <w:szCs w:val="10"/>
          <w:lang w:val="en-MY"/>
        </w:rPr>
      </w:pPr>
    </w:p>
    <w:p w:rsidR="00C12FB7" w:rsidRDefault="00C12FB7" w:rsidP="00C12FB7">
      <w:pPr>
        <w:pStyle w:val="BodyText2"/>
        <w:rPr>
          <w:b/>
          <w:bCs/>
        </w:rPr>
      </w:pPr>
      <w:r>
        <w:rPr>
          <w:b/>
          <w:bCs/>
        </w:rPr>
        <w:t>THE EFFECT OF THE FINANCIAL SERVICES ACT 2013 (FSA) ON PERSONAL ACCIDENT &amp; LIFE INSURANCE CLAIMS BY MR ANDREW KHOO KOK TSAN</w:t>
      </w:r>
    </w:p>
    <w:p w:rsidR="00C12FB7" w:rsidRDefault="00C12FB7" w:rsidP="00C12FB7">
      <w:pPr>
        <w:pStyle w:val="BodyText2"/>
        <w:rPr>
          <w:b/>
          <w:bCs/>
        </w:rPr>
      </w:pPr>
    </w:p>
    <w:p w:rsidR="00C12FB7" w:rsidRDefault="00C12FB7" w:rsidP="00C12FB7">
      <w:pPr>
        <w:pStyle w:val="BodyText2"/>
      </w:pPr>
      <w:r>
        <w:t xml:space="preserve">We are pleased to inform that we will be organizing one day Seminar on the abovementioned topics as below: </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p>
    <w:p w:rsidR="00C12FB7" w:rsidRDefault="00C12FB7" w:rsidP="00C12FB7">
      <w:pPr>
        <w:pStyle w:val="Heading7"/>
        <w:jc w:val="both"/>
        <w:rPr>
          <w:rFonts w:ascii="Arial" w:hAnsi="Arial" w:cs="Arial"/>
          <w:sz w:val="22"/>
          <w:szCs w:val="22"/>
        </w:rPr>
      </w:pPr>
      <w:r>
        <w:rPr>
          <w:rFonts w:ascii="Arial" w:hAnsi="Arial" w:cs="Arial"/>
          <w:sz w:val="22"/>
          <w:szCs w:val="22"/>
        </w:rPr>
        <w:t>DATE &amp; TIME</w:t>
      </w:r>
    </w:p>
    <w:p w:rsidR="00C12FB7" w:rsidRDefault="00C12FB7" w:rsidP="00C12FB7">
      <w:pPr>
        <w:jc w:val="both"/>
        <w:rPr>
          <w:rFonts w:ascii="Arial" w:hAnsi="Arial" w:cs="Arial"/>
          <w:lang w:val="en-MY"/>
        </w:rPr>
      </w:pPr>
    </w:p>
    <w:p w:rsidR="00C12FB7" w:rsidRDefault="00C12FB7" w:rsidP="00C12FB7">
      <w:pPr>
        <w:pStyle w:val="Heading7"/>
        <w:jc w:val="both"/>
        <w:rPr>
          <w:rFonts w:ascii="Arial" w:hAnsi="Arial" w:cs="Arial"/>
          <w:b w:val="0"/>
          <w:bCs w:val="0"/>
          <w:sz w:val="22"/>
          <w:szCs w:val="22"/>
        </w:rPr>
      </w:pPr>
      <w:r>
        <w:rPr>
          <w:rFonts w:ascii="Arial" w:hAnsi="Arial" w:cs="Arial"/>
          <w:b w:val="0"/>
          <w:bCs w:val="0"/>
          <w:sz w:val="22"/>
          <w:szCs w:val="22"/>
        </w:rPr>
        <w:t xml:space="preserve">Tuesday, 03 November 2015:  9.00 am – 5.00 pm </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p>
    <w:p w:rsidR="00C12FB7" w:rsidRDefault="00C12FB7" w:rsidP="00C12FB7">
      <w:pPr>
        <w:pStyle w:val="Heading7"/>
        <w:jc w:val="both"/>
        <w:rPr>
          <w:rFonts w:ascii="Arial" w:hAnsi="Arial" w:cs="Arial"/>
          <w:sz w:val="22"/>
          <w:szCs w:val="22"/>
        </w:rPr>
      </w:pPr>
      <w:r>
        <w:rPr>
          <w:rFonts w:ascii="Arial" w:hAnsi="Arial" w:cs="Arial"/>
          <w:sz w:val="22"/>
          <w:szCs w:val="22"/>
        </w:rPr>
        <w:t>VENUE</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s-ES"/>
        </w:rPr>
      </w:pPr>
      <w:proofErr w:type="spellStart"/>
      <w:r>
        <w:rPr>
          <w:rFonts w:ascii="Arial" w:hAnsi="Arial" w:cs="Arial"/>
          <w:lang w:val="es-ES"/>
        </w:rPr>
        <w:t>GTower</w:t>
      </w:r>
      <w:proofErr w:type="spellEnd"/>
      <w:r>
        <w:rPr>
          <w:rFonts w:ascii="Arial" w:hAnsi="Arial" w:cs="Arial"/>
          <w:lang w:val="es-ES"/>
        </w:rPr>
        <w:t xml:space="preserve"> Hotel, Kuala Lumpur</w:t>
      </w:r>
    </w:p>
    <w:p w:rsidR="00C12FB7" w:rsidRDefault="00C12FB7" w:rsidP="00C12FB7">
      <w:pPr>
        <w:jc w:val="both"/>
        <w:rPr>
          <w:rFonts w:ascii="Arial" w:hAnsi="Arial" w:cs="Arial"/>
          <w:lang w:val="es-ES"/>
        </w:rPr>
      </w:pPr>
    </w:p>
    <w:p w:rsidR="00C12FB7" w:rsidRDefault="00C12FB7" w:rsidP="00C12FB7">
      <w:pPr>
        <w:jc w:val="both"/>
        <w:rPr>
          <w:rFonts w:ascii="Arial" w:hAnsi="Arial" w:cs="Arial"/>
          <w:lang w:val="es-ES"/>
        </w:rPr>
      </w:pPr>
    </w:p>
    <w:p w:rsidR="00C12FB7" w:rsidRDefault="00C12FB7" w:rsidP="00C12FB7">
      <w:pPr>
        <w:jc w:val="both"/>
        <w:rPr>
          <w:rFonts w:ascii="Arial" w:hAnsi="Arial" w:cs="Arial"/>
          <w:b/>
          <w:bCs/>
        </w:rPr>
      </w:pPr>
      <w:r>
        <w:rPr>
          <w:rFonts w:ascii="Arial" w:hAnsi="Arial" w:cs="Arial"/>
          <w:b/>
          <w:bCs/>
          <w:lang w:val="en-MY"/>
        </w:rPr>
        <w:t xml:space="preserve">PARTICIPANTS </w:t>
      </w:r>
    </w:p>
    <w:p w:rsidR="00C12FB7" w:rsidRDefault="00C12FB7" w:rsidP="00C12FB7">
      <w:pPr>
        <w:jc w:val="both"/>
        <w:rPr>
          <w:rFonts w:ascii="Arial" w:hAnsi="Arial" w:cs="Arial"/>
          <w:lang w:val="en-MY"/>
        </w:rPr>
      </w:pPr>
      <w:r>
        <w:rPr>
          <w:rFonts w:ascii="Arial" w:hAnsi="Arial" w:cs="Arial"/>
          <w:lang w:val="en-MY"/>
        </w:rPr>
        <w:t xml:space="preserve">                     </w:t>
      </w:r>
    </w:p>
    <w:p w:rsidR="00C12FB7" w:rsidRDefault="00C12FB7" w:rsidP="00C12FB7">
      <w:pPr>
        <w:jc w:val="both"/>
        <w:rPr>
          <w:rFonts w:ascii="Arial" w:hAnsi="Arial" w:cs="Arial"/>
          <w:color w:val="FF0000"/>
          <w:lang w:val="en-MY"/>
        </w:rPr>
      </w:pPr>
      <w:r>
        <w:rPr>
          <w:rFonts w:ascii="Arial" w:hAnsi="Arial" w:cs="Arial"/>
          <w:lang w:val="en-MY"/>
        </w:rPr>
        <w:t xml:space="preserve">This session should attract Managers, Senior Executives and Executives from the Claims and Underwriting departments of Personal Accident, Medical and Health portfolios and the like in both Life and General companies in the Conventional insurance and Takaful fraternity. It will also be informative for Compliance and Legal Department, Risk Management Department, </w:t>
      </w:r>
      <w:proofErr w:type="spellStart"/>
      <w:r>
        <w:rPr>
          <w:rFonts w:ascii="Arial" w:hAnsi="Arial" w:cs="Arial"/>
          <w:lang w:val="en-MY"/>
        </w:rPr>
        <w:t>marketeers</w:t>
      </w:r>
      <w:proofErr w:type="spellEnd"/>
      <w:r>
        <w:rPr>
          <w:rFonts w:ascii="Arial" w:hAnsi="Arial" w:cs="Arial"/>
          <w:lang w:val="en-MY"/>
        </w:rPr>
        <w:t xml:space="preserve"> and regulatory bodies</w:t>
      </w:r>
      <w:r>
        <w:rPr>
          <w:rFonts w:ascii="Arial" w:hAnsi="Arial" w:cs="Arial"/>
          <w:color w:val="FF0000"/>
          <w:lang w:val="en-MY"/>
        </w:rPr>
        <w:t>.</w:t>
      </w:r>
    </w:p>
    <w:p w:rsidR="00C12FB7" w:rsidRDefault="00C12FB7" w:rsidP="00C12FB7">
      <w:pPr>
        <w:spacing w:line="276" w:lineRule="auto"/>
        <w:jc w:val="both"/>
        <w:rPr>
          <w:rFonts w:ascii="Arial" w:hAnsi="Arial" w:cs="Arial"/>
          <w:b/>
          <w:bCs/>
          <w:lang w:val="en-MY"/>
        </w:rPr>
      </w:pPr>
    </w:p>
    <w:p w:rsidR="00C12FB7" w:rsidRDefault="00C12FB7">
      <w:pPr>
        <w:spacing w:after="200" w:line="276" w:lineRule="auto"/>
        <w:rPr>
          <w:rFonts w:ascii="Arial" w:hAnsi="Arial" w:cs="Arial"/>
          <w:b/>
          <w:bCs/>
          <w:lang w:val="en-MY"/>
        </w:rPr>
      </w:pPr>
      <w:r>
        <w:rPr>
          <w:rFonts w:ascii="Arial" w:hAnsi="Arial" w:cs="Arial"/>
          <w:b/>
          <w:bCs/>
          <w:lang w:val="en-MY"/>
        </w:rPr>
        <w:br w:type="page"/>
      </w:r>
    </w:p>
    <w:p w:rsidR="00C12FB7" w:rsidRDefault="00C12FB7" w:rsidP="00C12FB7">
      <w:pPr>
        <w:spacing w:line="276" w:lineRule="auto"/>
        <w:jc w:val="both"/>
        <w:rPr>
          <w:rFonts w:ascii="Arial" w:hAnsi="Arial" w:cs="Arial"/>
          <w:b/>
          <w:bCs/>
          <w:lang w:val="en-MY"/>
        </w:rPr>
      </w:pPr>
    </w:p>
    <w:p w:rsidR="00C12FB7" w:rsidRDefault="00C12FB7" w:rsidP="00C12FB7">
      <w:pPr>
        <w:spacing w:line="276" w:lineRule="auto"/>
        <w:jc w:val="both"/>
        <w:rPr>
          <w:rFonts w:ascii="Arial" w:hAnsi="Arial" w:cs="Arial"/>
          <w:b/>
          <w:bCs/>
          <w:lang w:val="en-MY"/>
        </w:rPr>
      </w:pPr>
    </w:p>
    <w:p w:rsidR="00C12FB7" w:rsidRDefault="00C12FB7" w:rsidP="00C12FB7">
      <w:pPr>
        <w:spacing w:line="276" w:lineRule="auto"/>
        <w:jc w:val="both"/>
        <w:rPr>
          <w:rFonts w:ascii="Arial" w:hAnsi="Arial" w:cs="Arial"/>
          <w:b/>
          <w:bCs/>
          <w:lang w:val="en-MY"/>
        </w:rPr>
      </w:pPr>
    </w:p>
    <w:p w:rsidR="00C12FB7" w:rsidRDefault="00C12FB7" w:rsidP="00C12FB7">
      <w:pPr>
        <w:spacing w:line="276" w:lineRule="auto"/>
        <w:jc w:val="both"/>
        <w:rPr>
          <w:rFonts w:ascii="Arial" w:hAnsi="Arial" w:cs="Arial"/>
          <w:b/>
          <w:bCs/>
          <w:lang w:val="en-MY"/>
        </w:rPr>
      </w:pPr>
      <w:r>
        <w:rPr>
          <w:rFonts w:ascii="Arial" w:hAnsi="Arial" w:cs="Arial"/>
          <w:b/>
          <w:bCs/>
          <w:lang w:val="en-MY"/>
        </w:rPr>
        <w:t>SPEAKER’S PROFILE</w:t>
      </w:r>
    </w:p>
    <w:p w:rsidR="00C12FB7" w:rsidRDefault="00C12FB7" w:rsidP="00C12FB7">
      <w:pPr>
        <w:rPr>
          <w:rFonts w:ascii="Arial" w:hAnsi="Arial" w:cs="Arial"/>
          <w:b/>
          <w:bCs/>
          <w:color w:val="000000"/>
          <w:lang w:val="en-MY"/>
        </w:rPr>
      </w:pPr>
      <w:r>
        <w:rPr>
          <w:rFonts w:ascii="Arial" w:hAnsi="Arial" w:cs="Arial"/>
          <w:b/>
          <w:bCs/>
          <w:lang w:val="en-MY"/>
        </w:rPr>
        <w:br/>
      </w:r>
      <w:r>
        <w:rPr>
          <w:rFonts w:ascii="Arial" w:hAnsi="Arial" w:cs="Arial"/>
          <w:b/>
          <w:bCs/>
          <w:color w:val="000000"/>
          <w:lang w:val="en-MY"/>
        </w:rPr>
        <w:t>MR ANDREW KHOO KOK TSAN</w:t>
      </w:r>
    </w:p>
    <w:p w:rsidR="00C12FB7" w:rsidRDefault="00C12FB7" w:rsidP="00C12FB7">
      <w:pPr>
        <w:spacing w:line="276" w:lineRule="auto"/>
        <w:rPr>
          <w:rFonts w:ascii="Arial" w:hAnsi="Arial" w:cs="Arial"/>
          <w:b/>
          <w:bCs/>
          <w:color w:val="000000"/>
          <w:lang w:val="en-MY"/>
        </w:rPr>
      </w:pPr>
    </w:p>
    <w:p w:rsidR="00C12FB7" w:rsidRDefault="00C12FB7" w:rsidP="00C12FB7">
      <w:pPr>
        <w:spacing w:line="276" w:lineRule="auto"/>
        <w:jc w:val="both"/>
        <w:rPr>
          <w:rFonts w:ascii="Arial" w:hAnsi="Arial" w:cs="Arial"/>
          <w:color w:val="000000"/>
          <w:lang w:val="en-MY"/>
        </w:rPr>
      </w:pPr>
      <w:r>
        <w:rPr>
          <w:rFonts w:ascii="Arial" w:hAnsi="Arial" w:cs="Arial"/>
          <w:color w:val="000000"/>
          <w:lang w:val="en-MY"/>
        </w:rPr>
        <w:t xml:space="preserve">Mr Andrew Khoo graduated with Bachelor Degree in Chemical Engineering from University College of London University in year 1983 and holds a </w:t>
      </w:r>
      <w:proofErr w:type="spellStart"/>
      <w:r>
        <w:rPr>
          <w:rFonts w:ascii="Arial" w:hAnsi="Arial" w:cs="Arial"/>
          <w:color w:val="000000"/>
          <w:lang w:val="en-MY"/>
        </w:rPr>
        <w:t>B.Sc</w:t>
      </w:r>
      <w:proofErr w:type="spellEnd"/>
      <w:r>
        <w:rPr>
          <w:rFonts w:ascii="Arial" w:hAnsi="Arial" w:cs="Arial"/>
          <w:color w:val="000000"/>
          <w:lang w:val="en-MY"/>
        </w:rPr>
        <w:t xml:space="preserve"> </w:t>
      </w:r>
      <w:proofErr w:type="spellStart"/>
      <w:r>
        <w:rPr>
          <w:rFonts w:ascii="Arial" w:hAnsi="Arial" w:cs="Arial"/>
          <w:color w:val="000000"/>
          <w:lang w:val="en-MY"/>
        </w:rPr>
        <w:t>Hons</w:t>
      </w:r>
      <w:proofErr w:type="spellEnd"/>
      <w:r>
        <w:rPr>
          <w:rFonts w:ascii="Arial" w:hAnsi="Arial" w:cs="Arial"/>
          <w:color w:val="000000"/>
          <w:lang w:val="en-MY"/>
        </w:rPr>
        <w:t>. He also holds a Diploma in Law from City University of London in year 1984 and Barrister-at-Law Middle Temple in year 1985.</w:t>
      </w:r>
    </w:p>
    <w:p w:rsidR="00C12FB7" w:rsidRDefault="00C12FB7" w:rsidP="00C12FB7">
      <w:pPr>
        <w:spacing w:line="276" w:lineRule="auto"/>
        <w:jc w:val="both"/>
        <w:rPr>
          <w:rFonts w:ascii="Arial" w:hAnsi="Arial" w:cs="Arial"/>
          <w:color w:val="000000"/>
          <w:lang w:val="en-MY"/>
        </w:rPr>
      </w:pPr>
    </w:p>
    <w:p w:rsidR="00C12FB7" w:rsidRDefault="00C12FB7" w:rsidP="00C12FB7">
      <w:pPr>
        <w:spacing w:line="276" w:lineRule="auto"/>
        <w:jc w:val="both"/>
        <w:rPr>
          <w:rFonts w:ascii="Arial" w:hAnsi="Arial" w:cs="Arial"/>
          <w:color w:val="000000"/>
          <w:lang w:val="en-MY"/>
        </w:rPr>
      </w:pPr>
      <w:r>
        <w:rPr>
          <w:rFonts w:ascii="Arial" w:hAnsi="Arial" w:cs="Arial"/>
          <w:color w:val="000000"/>
          <w:lang w:val="en-MY"/>
        </w:rPr>
        <w:t xml:space="preserve">Presently, Mr Andrew Khoo is a Partner at M/s Khoo &amp; </w:t>
      </w:r>
      <w:proofErr w:type="spellStart"/>
      <w:r>
        <w:rPr>
          <w:rFonts w:ascii="Arial" w:hAnsi="Arial" w:cs="Arial"/>
          <w:color w:val="000000"/>
          <w:lang w:val="en-MY"/>
        </w:rPr>
        <w:t>Sidhu</w:t>
      </w:r>
      <w:proofErr w:type="spellEnd"/>
      <w:r>
        <w:rPr>
          <w:rFonts w:ascii="Arial" w:hAnsi="Arial" w:cs="Arial"/>
          <w:color w:val="000000"/>
          <w:lang w:val="en-MY"/>
        </w:rPr>
        <w:t>, Advocates &amp; Solicitors in Kuala Lumpur. He had been practising since 1986. He is also appointed as Mediator in Bar Council since year 2009.</w:t>
      </w:r>
    </w:p>
    <w:p w:rsidR="00C12FB7" w:rsidRDefault="00C12FB7" w:rsidP="00C12FB7">
      <w:pPr>
        <w:spacing w:line="276" w:lineRule="auto"/>
        <w:jc w:val="both"/>
        <w:rPr>
          <w:rFonts w:ascii="Arial" w:hAnsi="Arial" w:cs="Arial"/>
          <w:b/>
          <w:bCs/>
          <w:lang w:val="en-MY"/>
        </w:rPr>
      </w:pPr>
    </w:p>
    <w:p w:rsidR="00C12FB7" w:rsidRDefault="00C12FB7" w:rsidP="00C12FB7">
      <w:pPr>
        <w:jc w:val="right"/>
        <w:rPr>
          <w:rFonts w:ascii="Arial" w:hAnsi="Arial" w:cs="Arial"/>
          <w:b/>
          <w:bCs/>
          <w:lang w:val="en-MY"/>
        </w:rPr>
      </w:pPr>
    </w:p>
    <w:p w:rsidR="00C12FB7" w:rsidRDefault="00C12FB7" w:rsidP="00C12FB7">
      <w:pPr>
        <w:jc w:val="both"/>
        <w:rPr>
          <w:rFonts w:ascii="Arial" w:hAnsi="Arial" w:cs="Arial"/>
          <w:i/>
          <w:iCs/>
          <w:lang w:val="en-MY"/>
        </w:rPr>
      </w:pPr>
      <w:r>
        <w:rPr>
          <w:rFonts w:ascii="Arial" w:hAnsi="Arial" w:cs="Arial"/>
          <w:b/>
          <w:bCs/>
          <w:lang w:val="en-MY"/>
        </w:rPr>
        <w:t xml:space="preserve">WORKSHOP CONTENT </w:t>
      </w:r>
    </w:p>
    <w:p w:rsidR="00C12FB7" w:rsidRDefault="00C12FB7" w:rsidP="00C12FB7">
      <w:pPr>
        <w:jc w:val="both"/>
        <w:rPr>
          <w:b/>
          <w:bCs/>
          <w:lang w:val="en-MY"/>
        </w:rPr>
      </w:pPr>
    </w:p>
    <w:tbl>
      <w:tblPr>
        <w:tblW w:w="9639" w:type="dxa"/>
        <w:tblInd w:w="250" w:type="dxa"/>
        <w:tblCellMar>
          <w:left w:w="0" w:type="dxa"/>
          <w:right w:w="0" w:type="dxa"/>
        </w:tblCellMar>
        <w:tblLook w:val="04A0"/>
      </w:tblPr>
      <w:tblGrid>
        <w:gridCol w:w="3260"/>
        <w:gridCol w:w="6379"/>
      </w:tblGrid>
      <w:tr w:rsidR="00C12FB7" w:rsidTr="00C12FB7">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FB7" w:rsidRDefault="00C12FB7">
            <w:pPr>
              <w:jc w:val="center"/>
              <w:rPr>
                <w:rFonts w:ascii="Arial" w:hAnsi="Arial" w:cs="Arial"/>
                <w:smallCaps/>
                <w:sz w:val="24"/>
                <w:szCs w:val="24"/>
              </w:rPr>
            </w:pPr>
            <w:r>
              <w:rPr>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jc w:val="center"/>
              <w:rPr>
                <w:rFonts w:ascii="Arial" w:hAnsi="Arial" w:cs="Arial"/>
                <w:smallCaps/>
                <w:sz w:val="24"/>
                <w:szCs w:val="24"/>
              </w:rPr>
            </w:pPr>
            <w:r>
              <w:rPr>
                <w:smallCaps/>
              </w:rPr>
              <w:t>TOPIC</w:t>
            </w:r>
          </w:p>
        </w:tc>
      </w:tr>
      <w:tr w:rsidR="00C12FB7" w:rsidTr="00C12FB7">
        <w:trPr>
          <w:trHeight w:val="54"/>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FB7" w:rsidRDefault="00C12FB7">
            <w:pPr>
              <w:rPr>
                <w:rFonts w:ascii="Arial" w:hAnsi="Arial" w:cs="Arial"/>
                <w:b/>
                <w:bCs/>
                <w:smallCaps/>
                <w:sz w:val="24"/>
                <w:szCs w:val="24"/>
              </w:rPr>
            </w:pPr>
          </w:p>
          <w:p w:rsidR="00C12FB7" w:rsidRDefault="00C12FB7">
            <w:pPr>
              <w:rPr>
                <w:b/>
                <w:bCs/>
                <w:smallCaps/>
              </w:rPr>
            </w:pPr>
          </w:p>
          <w:p w:rsidR="00C12FB7" w:rsidRDefault="00C12FB7">
            <w:pPr>
              <w:jc w:val="center"/>
              <w:rPr>
                <w:b/>
                <w:bCs/>
              </w:rPr>
            </w:pPr>
            <w:r>
              <w:rPr>
                <w:b/>
                <w:bCs/>
              </w:rPr>
              <w:t>MR ANDREW KHOO KOK TSAN,</w:t>
            </w:r>
          </w:p>
          <w:p w:rsidR="00C12FB7" w:rsidRDefault="00C12FB7">
            <w:pPr>
              <w:jc w:val="center"/>
              <w:rPr>
                <w:sz w:val="23"/>
                <w:szCs w:val="23"/>
              </w:rPr>
            </w:pPr>
          </w:p>
          <w:p w:rsidR="00C12FB7" w:rsidRDefault="00C12FB7">
            <w:pPr>
              <w:jc w:val="center"/>
              <w:rPr>
                <w:sz w:val="16"/>
                <w:szCs w:val="16"/>
              </w:rPr>
            </w:pPr>
          </w:p>
          <w:p w:rsidR="00C12FB7" w:rsidRDefault="00C12FB7">
            <w:pPr>
              <w:jc w:val="center"/>
              <w:rPr>
                <w:rFonts w:ascii="Arial" w:hAnsi="Arial" w:cs="Arial"/>
                <w:sz w:val="21"/>
                <w:szCs w:val="21"/>
              </w:rPr>
            </w:pPr>
            <w:r>
              <w:rPr>
                <w:sz w:val="21"/>
                <w:szCs w:val="21"/>
              </w:rPr>
              <w:t>M/S KHOO &amp; SIDHU, ADVOCATES &amp; SOLICITORS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C12FB7" w:rsidRDefault="00C12FB7">
            <w:pPr>
              <w:rPr>
                <w:rFonts w:ascii="Times New Roman" w:hAnsi="Times New Roman"/>
                <w:sz w:val="24"/>
                <w:szCs w:val="24"/>
              </w:rPr>
            </w:pPr>
          </w:p>
          <w:p w:rsidR="00C12FB7" w:rsidRDefault="00C12FB7">
            <w:pPr>
              <w:rPr>
                <w:rFonts w:ascii="Times New Roman" w:hAnsi="Times New Roman"/>
              </w:rPr>
            </w:pPr>
          </w:p>
          <w:p w:rsidR="00C12FB7" w:rsidRDefault="00C12FB7" w:rsidP="00C7143D">
            <w:pPr>
              <w:numPr>
                <w:ilvl w:val="0"/>
                <w:numId w:val="2"/>
              </w:numPr>
              <w:rPr>
                <w:rFonts w:ascii="Times New Roman" w:hAnsi="Times New Roman"/>
                <w:sz w:val="28"/>
                <w:szCs w:val="28"/>
              </w:rPr>
            </w:pPr>
            <w:r>
              <w:rPr>
                <w:rFonts w:ascii="Times New Roman" w:hAnsi="Times New Roman"/>
                <w:sz w:val="28"/>
                <w:szCs w:val="28"/>
              </w:rPr>
              <w:t>The Law Prior to the FSA</w:t>
            </w:r>
          </w:p>
          <w:p w:rsidR="00C12FB7" w:rsidRDefault="00C12FB7">
            <w:pPr>
              <w:rPr>
                <w:rFonts w:ascii="Times New Roman" w:hAnsi="Times New Roman"/>
                <w:sz w:val="28"/>
                <w:szCs w:val="28"/>
              </w:rPr>
            </w:pPr>
          </w:p>
          <w:p w:rsidR="00C12FB7" w:rsidRDefault="00C12FB7" w:rsidP="00C7143D">
            <w:pPr>
              <w:numPr>
                <w:ilvl w:val="0"/>
                <w:numId w:val="3"/>
              </w:numPr>
              <w:rPr>
                <w:rFonts w:ascii="Times New Roman" w:hAnsi="Times New Roman"/>
                <w:sz w:val="28"/>
                <w:szCs w:val="28"/>
              </w:rPr>
            </w:pPr>
            <w:r>
              <w:rPr>
                <w:rFonts w:ascii="Times New Roman" w:hAnsi="Times New Roman"/>
                <w:sz w:val="28"/>
                <w:szCs w:val="28"/>
              </w:rPr>
              <w:t>The Insurance Act 1996</w:t>
            </w:r>
          </w:p>
          <w:p w:rsidR="00C12FB7" w:rsidRDefault="00C12FB7" w:rsidP="00C7143D">
            <w:pPr>
              <w:numPr>
                <w:ilvl w:val="0"/>
                <w:numId w:val="3"/>
              </w:numPr>
              <w:rPr>
                <w:rFonts w:ascii="Times New Roman" w:hAnsi="Times New Roman"/>
                <w:sz w:val="28"/>
                <w:szCs w:val="28"/>
              </w:rPr>
            </w:pPr>
            <w:r>
              <w:rPr>
                <w:rFonts w:ascii="Times New Roman" w:hAnsi="Times New Roman"/>
                <w:sz w:val="28"/>
                <w:szCs w:val="28"/>
              </w:rPr>
              <w:t>Common Law cases</w:t>
            </w:r>
          </w:p>
          <w:p w:rsidR="00C12FB7" w:rsidRDefault="00C12FB7">
            <w:pPr>
              <w:rPr>
                <w:rFonts w:ascii="Times New Roman" w:hAnsi="Times New Roman"/>
                <w:sz w:val="28"/>
                <w:szCs w:val="28"/>
              </w:rPr>
            </w:pPr>
          </w:p>
          <w:p w:rsidR="00C12FB7" w:rsidRDefault="00C12FB7">
            <w:pPr>
              <w:rPr>
                <w:rFonts w:ascii="Times New Roman" w:hAnsi="Times New Roman"/>
                <w:sz w:val="28"/>
                <w:szCs w:val="28"/>
              </w:rPr>
            </w:pPr>
          </w:p>
          <w:p w:rsidR="00C12FB7" w:rsidRDefault="00C12FB7" w:rsidP="00C7143D">
            <w:pPr>
              <w:numPr>
                <w:ilvl w:val="0"/>
                <w:numId w:val="2"/>
              </w:numPr>
              <w:rPr>
                <w:rFonts w:ascii="Times New Roman" w:hAnsi="Times New Roman"/>
                <w:sz w:val="28"/>
                <w:szCs w:val="28"/>
              </w:rPr>
            </w:pPr>
            <w:r>
              <w:rPr>
                <w:rFonts w:ascii="Times New Roman" w:hAnsi="Times New Roman"/>
                <w:sz w:val="28"/>
                <w:szCs w:val="28"/>
              </w:rPr>
              <w:t>The Provisions of the FSA (Schedules 8 to 12)</w:t>
            </w:r>
          </w:p>
          <w:p w:rsidR="00C12FB7" w:rsidRDefault="00C12FB7">
            <w:pPr>
              <w:ind w:left="720"/>
              <w:rPr>
                <w:rFonts w:ascii="Times New Roman" w:hAnsi="Times New Roman"/>
                <w:sz w:val="28"/>
                <w:szCs w:val="28"/>
              </w:rPr>
            </w:pPr>
          </w:p>
          <w:p w:rsidR="00C12FB7" w:rsidRDefault="00C12FB7">
            <w:pPr>
              <w:ind w:left="720"/>
              <w:rPr>
                <w:rFonts w:ascii="Times New Roman" w:hAnsi="Times New Roman"/>
                <w:sz w:val="28"/>
                <w:szCs w:val="28"/>
              </w:rPr>
            </w:pPr>
          </w:p>
          <w:p w:rsidR="00C12FB7" w:rsidRDefault="00C12FB7" w:rsidP="00C7143D">
            <w:pPr>
              <w:numPr>
                <w:ilvl w:val="0"/>
                <w:numId w:val="2"/>
              </w:numPr>
              <w:rPr>
                <w:rFonts w:ascii="Times New Roman" w:hAnsi="Times New Roman"/>
                <w:sz w:val="28"/>
                <w:szCs w:val="28"/>
              </w:rPr>
            </w:pPr>
            <w:r>
              <w:rPr>
                <w:rFonts w:ascii="Times New Roman" w:hAnsi="Times New Roman"/>
                <w:sz w:val="28"/>
                <w:szCs w:val="28"/>
              </w:rPr>
              <w:t>The Possible Impact on Claims</w:t>
            </w:r>
          </w:p>
          <w:p w:rsidR="00C12FB7" w:rsidRDefault="00C12FB7">
            <w:pPr>
              <w:rPr>
                <w:rFonts w:ascii="Times New Roman" w:hAnsi="Times New Roman"/>
                <w:sz w:val="28"/>
                <w:szCs w:val="28"/>
              </w:rPr>
            </w:pPr>
          </w:p>
          <w:p w:rsidR="00C12FB7" w:rsidRDefault="00C12FB7">
            <w:pPr>
              <w:rPr>
                <w:rFonts w:ascii="Times New Roman" w:hAnsi="Times New Roman"/>
                <w:sz w:val="28"/>
                <w:szCs w:val="28"/>
              </w:rPr>
            </w:pPr>
          </w:p>
          <w:p w:rsidR="00C12FB7" w:rsidRDefault="00C12FB7" w:rsidP="00C7143D">
            <w:pPr>
              <w:numPr>
                <w:ilvl w:val="0"/>
                <w:numId w:val="2"/>
              </w:numPr>
              <w:rPr>
                <w:rFonts w:ascii="Times New Roman" w:hAnsi="Times New Roman"/>
                <w:sz w:val="28"/>
                <w:szCs w:val="28"/>
              </w:rPr>
            </w:pPr>
            <w:r>
              <w:rPr>
                <w:rFonts w:ascii="Times New Roman" w:hAnsi="Times New Roman"/>
                <w:sz w:val="28"/>
                <w:szCs w:val="28"/>
              </w:rPr>
              <w:t xml:space="preserve">Specimen Questions/ Problems </w:t>
            </w:r>
          </w:p>
          <w:p w:rsidR="00C12FB7" w:rsidRDefault="00C12FB7">
            <w:pPr>
              <w:rPr>
                <w:rFonts w:ascii="Times New Roman" w:hAnsi="Times New Roman"/>
                <w:sz w:val="28"/>
                <w:szCs w:val="28"/>
              </w:rPr>
            </w:pPr>
          </w:p>
          <w:p w:rsidR="00C12FB7" w:rsidRDefault="00C12FB7" w:rsidP="00C7143D">
            <w:pPr>
              <w:numPr>
                <w:ilvl w:val="0"/>
                <w:numId w:val="4"/>
              </w:numPr>
              <w:ind w:left="1026" w:hanging="283"/>
              <w:rPr>
                <w:rFonts w:ascii="Times New Roman" w:hAnsi="Times New Roman"/>
                <w:sz w:val="28"/>
                <w:szCs w:val="28"/>
              </w:rPr>
            </w:pPr>
            <w:r>
              <w:rPr>
                <w:rFonts w:ascii="Times New Roman" w:hAnsi="Times New Roman"/>
                <w:sz w:val="28"/>
                <w:szCs w:val="28"/>
              </w:rPr>
              <w:t>Audience Participation and Question &amp; Answer Sessions</w:t>
            </w:r>
          </w:p>
          <w:p w:rsidR="00C12FB7" w:rsidRDefault="00C12FB7">
            <w:pPr>
              <w:rPr>
                <w:rFonts w:ascii="Times New Roman" w:hAnsi="Times New Roman"/>
                <w:sz w:val="28"/>
                <w:szCs w:val="28"/>
              </w:rPr>
            </w:pPr>
          </w:p>
          <w:p w:rsidR="00C12FB7" w:rsidRDefault="00C12FB7">
            <w:pPr>
              <w:rPr>
                <w:rFonts w:ascii="Times New Roman" w:hAnsi="Times New Roman"/>
                <w:sz w:val="28"/>
                <w:szCs w:val="28"/>
              </w:rPr>
            </w:pPr>
          </w:p>
          <w:p w:rsidR="00C12FB7" w:rsidRDefault="00C12FB7" w:rsidP="00C12FB7">
            <w:pPr>
              <w:pStyle w:val="ListParagraph"/>
              <w:numPr>
                <w:ilvl w:val="0"/>
                <w:numId w:val="2"/>
              </w:numPr>
              <w:spacing w:line="276" w:lineRule="auto"/>
              <w:rPr>
                <w:sz w:val="24"/>
                <w:szCs w:val="24"/>
              </w:rPr>
            </w:pPr>
            <w:r>
              <w:rPr>
                <w:sz w:val="28"/>
                <w:szCs w:val="28"/>
              </w:rPr>
              <w:t>Summary and Conclusion</w:t>
            </w:r>
          </w:p>
        </w:tc>
      </w:tr>
    </w:tbl>
    <w:p w:rsidR="00C12FB7" w:rsidRDefault="00C12FB7" w:rsidP="00C12FB7">
      <w:pPr>
        <w:jc w:val="both"/>
        <w:rPr>
          <w:b/>
          <w:bCs/>
          <w:lang w:val="en-MY"/>
        </w:rPr>
      </w:pPr>
    </w:p>
    <w:p w:rsidR="00C12FB7" w:rsidRDefault="00C12FB7" w:rsidP="00C12FB7">
      <w:pPr>
        <w:jc w:val="both"/>
        <w:rPr>
          <w:rFonts w:ascii="Arial" w:hAnsi="Arial" w:cs="Arial"/>
          <w:b/>
          <w:bCs/>
          <w:lang w:val="en-MY"/>
        </w:rPr>
      </w:pPr>
    </w:p>
    <w:p w:rsidR="00C12FB7" w:rsidRDefault="00C12FB7" w:rsidP="00C12FB7">
      <w:pPr>
        <w:rPr>
          <w:rFonts w:ascii="Arial" w:hAnsi="Arial" w:cs="Arial"/>
          <w:b/>
          <w:bCs/>
          <w:lang w:val="en-MY"/>
        </w:rPr>
      </w:pPr>
    </w:p>
    <w:p w:rsidR="00C12FB7" w:rsidRDefault="00C12FB7" w:rsidP="00C12FB7">
      <w:pPr>
        <w:rPr>
          <w:rFonts w:ascii="Arial" w:hAnsi="Arial" w:cs="Arial"/>
          <w:b/>
          <w:bCs/>
          <w:lang w:val="en-MY"/>
        </w:rPr>
      </w:pPr>
    </w:p>
    <w:p w:rsidR="00C12FB7" w:rsidRDefault="00C12FB7" w:rsidP="00C12FB7">
      <w:pPr>
        <w:rPr>
          <w:rFonts w:ascii="Arial" w:hAnsi="Arial" w:cs="Arial"/>
          <w:b/>
          <w:bCs/>
          <w:lang w:val="en-MY"/>
        </w:rPr>
      </w:pPr>
      <w:r>
        <w:rPr>
          <w:rFonts w:ascii="Arial" w:hAnsi="Arial" w:cs="Arial"/>
          <w:b/>
          <w:bCs/>
          <w:lang w:val="en-MY"/>
        </w:rPr>
        <w:t xml:space="preserve">OBJECTIVE OF THE SESSION </w:t>
      </w: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lang w:val="en-MY"/>
        </w:rPr>
      </w:pPr>
      <w:r>
        <w:rPr>
          <w:rFonts w:ascii="Arial" w:hAnsi="Arial" w:cs="Arial"/>
          <w:lang w:val="en-MY"/>
        </w:rPr>
        <w:t xml:space="preserve">The objective of the topic is to assess the potential impact on insurance claims in view of the provisions of the FSA 2013, in particular Schedules 10 to 12, and how (if at all) it will affect the present common law governing claims under personal accident and life policies.  </w:t>
      </w:r>
    </w:p>
    <w:p w:rsidR="00C12FB7" w:rsidRDefault="00C12FB7" w:rsidP="00C12FB7">
      <w:pPr>
        <w:jc w:val="both"/>
        <w:rPr>
          <w:rFonts w:ascii="Arial" w:hAnsi="Arial" w:cs="Arial"/>
          <w:lang w:val="en-MY"/>
        </w:rPr>
      </w:pP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r>
        <w:rPr>
          <w:rFonts w:ascii="Arial" w:hAnsi="Arial" w:cs="Arial"/>
          <w:b/>
          <w:bCs/>
          <w:lang w:val="en-MY"/>
        </w:rPr>
        <w:t>PARTICIPANT FEE</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p>
    <w:p w:rsidR="00C12FB7" w:rsidRDefault="00C12FB7" w:rsidP="00C12FB7">
      <w:pPr>
        <w:jc w:val="both"/>
        <w:rPr>
          <w:rFonts w:ascii="Arial" w:hAnsi="Arial" w:cs="Arial"/>
          <w:b/>
          <w:bCs/>
          <w:lang w:val="en-MY"/>
        </w:rPr>
      </w:pPr>
      <w:r>
        <w:rPr>
          <w:rFonts w:ascii="Arial" w:hAnsi="Arial" w:cs="Arial"/>
          <w:b/>
          <w:bCs/>
          <w:lang w:val="en-MY"/>
        </w:rPr>
        <w:t>Complimentary Seat Entitlement:</w:t>
      </w:r>
    </w:p>
    <w:p w:rsidR="00C12FB7" w:rsidRDefault="00C12FB7" w:rsidP="00C12FB7">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C12FB7" w:rsidTr="00C12FB7">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C12FB7" w:rsidTr="00C12FB7">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FB7" w:rsidRDefault="00C12FB7">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C12FB7" w:rsidTr="00C12FB7">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FB7" w:rsidRDefault="00C12FB7">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C12FB7" w:rsidRDefault="00C12FB7" w:rsidP="00C12FB7">
      <w:pPr>
        <w:jc w:val="both"/>
        <w:rPr>
          <w:rFonts w:ascii="Arial" w:hAnsi="Arial" w:cs="Arial"/>
          <w:b/>
          <w:bCs/>
        </w:rPr>
      </w:pP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r>
        <w:rPr>
          <w:rFonts w:ascii="Arial" w:hAnsi="Arial" w:cs="Arial"/>
          <w:b/>
          <w:bCs/>
          <w:lang w:val="en-MY"/>
        </w:rPr>
        <w:t>REGISTRATION</w:t>
      </w: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lang w:val="en-MY"/>
        </w:rPr>
      </w:pPr>
      <w:r>
        <w:rPr>
          <w:rFonts w:ascii="Arial" w:hAnsi="Arial" w:cs="Arial"/>
          <w:lang w:val="en-MY"/>
        </w:rPr>
        <w:t xml:space="preserve">The Registration Form is attached herewith. </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C12FB7" w:rsidRDefault="00C12FB7" w:rsidP="00C12FB7">
      <w:pPr>
        <w:jc w:val="both"/>
        <w:rPr>
          <w:rFonts w:ascii="Arial" w:hAnsi="Arial" w:cs="Arial"/>
          <w:lang w:val="en-MY"/>
        </w:rPr>
      </w:pPr>
    </w:p>
    <w:p w:rsidR="00C12FB7" w:rsidRDefault="00C12FB7" w:rsidP="00C12FB7">
      <w:pPr>
        <w:jc w:val="both"/>
        <w:rPr>
          <w:rFonts w:ascii="Arial" w:hAnsi="Arial" w:cs="Arial"/>
          <w:b/>
          <w:bCs/>
          <w:i/>
          <w:iCs/>
          <w:lang w:val="en-MY"/>
        </w:rPr>
      </w:pPr>
      <w:r>
        <w:rPr>
          <w:rFonts w:ascii="Arial" w:hAnsi="Arial" w:cs="Arial"/>
          <w:b/>
          <w:bCs/>
          <w:i/>
          <w:iCs/>
          <w:lang w:val="en-MY"/>
        </w:rPr>
        <w:t>(The registration will be confirmed upon receiving the full payment)</w:t>
      </w: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r>
        <w:rPr>
          <w:rFonts w:ascii="Arial" w:hAnsi="Arial" w:cs="Arial"/>
          <w:b/>
          <w:bCs/>
          <w:lang w:val="en-MY"/>
        </w:rPr>
        <w:t xml:space="preserve">CLOSING DATE </w:t>
      </w:r>
    </w:p>
    <w:p w:rsidR="00C12FB7" w:rsidRDefault="00C12FB7" w:rsidP="00C12FB7">
      <w:pPr>
        <w:jc w:val="both"/>
        <w:rPr>
          <w:rFonts w:ascii="Arial" w:hAnsi="Arial" w:cs="Arial"/>
          <w:lang w:val="en-MY"/>
        </w:rPr>
      </w:pPr>
    </w:p>
    <w:p w:rsidR="00C12FB7" w:rsidRDefault="00C12FB7" w:rsidP="00C12FB7">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Friday, 23 October 2015. </w:t>
      </w: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p>
    <w:p w:rsidR="00C12FB7" w:rsidRDefault="00C12FB7" w:rsidP="00C12FB7">
      <w:pPr>
        <w:jc w:val="both"/>
        <w:rPr>
          <w:rFonts w:ascii="Arial" w:hAnsi="Arial" w:cs="Arial"/>
          <w:b/>
          <w:bCs/>
          <w:lang w:val="en-MY"/>
        </w:rPr>
      </w:pPr>
      <w:r>
        <w:rPr>
          <w:rFonts w:ascii="Arial" w:hAnsi="Arial" w:cs="Arial"/>
          <w:b/>
          <w:bCs/>
          <w:lang w:val="en-MY"/>
        </w:rPr>
        <w:t xml:space="preserve">FURTHER INFORMATION </w:t>
      </w:r>
    </w:p>
    <w:p w:rsidR="00C12FB7" w:rsidRDefault="00C12FB7" w:rsidP="00C12FB7">
      <w:pPr>
        <w:jc w:val="both"/>
        <w:rPr>
          <w:rFonts w:ascii="Arial" w:hAnsi="Arial" w:cs="Arial"/>
          <w:b/>
          <w:bCs/>
          <w:lang w:val="en-MY"/>
        </w:rPr>
      </w:pPr>
    </w:p>
    <w:p w:rsidR="00C12FB7" w:rsidRDefault="00C12FB7" w:rsidP="00C12FB7">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C12FB7" w:rsidRDefault="00C12FB7" w:rsidP="00C12FB7">
      <w:pPr>
        <w:jc w:val="both"/>
        <w:rPr>
          <w:rFonts w:ascii="Arial" w:hAnsi="Arial" w:cs="Arial"/>
          <w:lang w:val="en-MY"/>
        </w:rPr>
      </w:pPr>
    </w:p>
    <w:p w:rsidR="00C12FB7" w:rsidRDefault="00C12FB7" w:rsidP="00C12FB7">
      <w:pPr>
        <w:jc w:val="both"/>
        <w:rPr>
          <w:rFonts w:ascii="Arial" w:hAnsi="Arial" w:cs="Arial"/>
          <w:b/>
          <w:bCs/>
          <w:lang w:val="en-MY"/>
        </w:rPr>
      </w:pPr>
      <w:r>
        <w:rPr>
          <w:rFonts w:ascii="Arial" w:hAnsi="Arial" w:cs="Arial"/>
          <w:b/>
          <w:bCs/>
          <w:lang w:val="en-MY"/>
        </w:rPr>
        <w:t>We look forward to your early registration.</w:t>
      </w:r>
    </w:p>
    <w:p w:rsidR="00C12FB7" w:rsidRDefault="00C12FB7" w:rsidP="00C12FB7">
      <w:pPr>
        <w:jc w:val="both"/>
        <w:rPr>
          <w:rFonts w:ascii="Arial" w:hAnsi="Arial" w:cs="Arial"/>
          <w:lang w:val="en-MY"/>
        </w:rPr>
      </w:pPr>
    </w:p>
    <w:p w:rsidR="00C12FB7" w:rsidRDefault="00C12FB7" w:rsidP="00C12FB7">
      <w:pPr>
        <w:jc w:val="both"/>
        <w:rPr>
          <w:rFonts w:ascii="Arial" w:hAnsi="Arial" w:cs="Arial"/>
          <w:lang w:val="en-MY"/>
        </w:rPr>
      </w:pPr>
    </w:p>
    <w:p w:rsidR="00483D2C" w:rsidRDefault="00483D2C"/>
    <w:sectPr w:rsidR="00483D2C" w:rsidSect="00483D2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79" w:rsidRDefault="00DA1879" w:rsidP="00C12FB7">
      <w:r>
        <w:separator/>
      </w:r>
    </w:p>
  </w:endnote>
  <w:endnote w:type="continuationSeparator" w:id="0">
    <w:p w:rsidR="00DA1879" w:rsidRDefault="00DA1879" w:rsidP="00C12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79" w:rsidRDefault="00DA1879" w:rsidP="00C12FB7">
      <w:r>
        <w:separator/>
      </w:r>
    </w:p>
  </w:footnote>
  <w:footnote w:type="continuationSeparator" w:id="0">
    <w:p w:rsidR="00DA1879" w:rsidRDefault="00DA1879" w:rsidP="00C12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B7" w:rsidRPr="00C12FB7" w:rsidRDefault="00C12FB7" w:rsidP="00C12FB7">
    <w:pPr>
      <w:pStyle w:val="Header"/>
    </w:pPr>
    <w:r>
      <w:rPr>
        <w:rFonts w:ascii="Arial" w:hAnsi="Arial" w:cs="Arial"/>
        <w:noProof/>
      </w:rPr>
      <w:drawing>
        <wp:inline distT="0" distB="0" distL="0" distR="0">
          <wp:extent cx="1578610" cy="681355"/>
          <wp:effectExtent l="19050" t="0" r="2540" b="0"/>
          <wp:docPr id="1" name="Picture 7"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S-Logo-New-(c)"/>
                  <pic:cNvPicPr>
                    <a:picLocks noChangeAspect="1" noChangeArrowheads="1"/>
                  </pic:cNvPicPr>
                </pic:nvPicPr>
                <pic:blipFill>
                  <a:blip r:embed="rId1" r:link="rId2"/>
                  <a:srcRect/>
                  <a:stretch>
                    <a:fillRect/>
                  </a:stretch>
                </pic:blipFill>
                <pic:spPr bwMode="auto">
                  <a:xfrm>
                    <a:off x="0" y="0"/>
                    <a:ext cx="1578610" cy="6813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248FF"/>
    <w:multiLevelType w:val="hybridMultilevel"/>
    <w:tmpl w:val="6A2A585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44C328FF"/>
    <w:multiLevelType w:val="hybridMultilevel"/>
    <w:tmpl w:val="1152FE8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start w:val="1"/>
      <w:numFmt w:val="bullet"/>
      <w:lvlText w:val=""/>
      <w:lvlJc w:val="left"/>
      <w:pPr>
        <w:ind w:left="2520" w:hanging="360"/>
      </w:pPr>
      <w:rPr>
        <w:rFonts w:ascii="Wingdings" w:hAnsi="Wingdings" w:hint="default"/>
      </w:rPr>
    </w:lvl>
    <w:lvl w:ilvl="3" w:tplc="44090001">
      <w:start w:val="1"/>
      <w:numFmt w:val="bullet"/>
      <w:lvlText w:val=""/>
      <w:lvlJc w:val="left"/>
      <w:pPr>
        <w:ind w:left="3240" w:hanging="360"/>
      </w:pPr>
      <w:rPr>
        <w:rFonts w:ascii="Symbol" w:hAnsi="Symbol" w:hint="default"/>
      </w:rPr>
    </w:lvl>
    <w:lvl w:ilvl="4" w:tplc="44090003">
      <w:start w:val="1"/>
      <w:numFmt w:val="bullet"/>
      <w:lvlText w:val="o"/>
      <w:lvlJc w:val="left"/>
      <w:pPr>
        <w:ind w:left="3960" w:hanging="360"/>
      </w:pPr>
      <w:rPr>
        <w:rFonts w:ascii="Courier New" w:hAnsi="Courier New" w:cs="Courier New" w:hint="default"/>
      </w:rPr>
    </w:lvl>
    <w:lvl w:ilvl="5" w:tplc="44090005">
      <w:start w:val="1"/>
      <w:numFmt w:val="bullet"/>
      <w:lvlText w:val=""/>
      <w:lvlJc w:val="left"/>
      <w:pPr>
        <w:ind w:left="4680" w:hanging="360"/>
      </w:pPr>
      <w:rPr>
        <w:rFonts w:ascii="Wingdings" w:hAnsi="Wingdings" w:hint="default"/>
      </w:rPr>
    </w:lvl>
    <w:lvl w:ilvl="6" w:tplc="44090001">
      <w:start w:val="1"/>
      <w:numFmt w:val="bullet"/>
      <w:lvlText w:val=""/>
      <w:lvlJc w:val="left"/>
      <w:pPr>
        <w:ind w:left="5400" w:hanging="360"/>
      </w:pPr>
      <w:rPr>
        <w:rFonts w:ascii="Symbol" w:hAnsi="Symbol" w:hint="default"/>
      </w:rPr>
    </w:lvl>
    <w:lvl w:ilvl="7" w:tplc="44090003">
      <w:start w:val="1"/>
      <w:numFmt w:val="bullet"/>
      <w:lvlText w:val="o"/>
      <w:lvlJc w:val="left"/>
      <w:pPr>
        <w:ind w:left="6120" w:hanging="360"/>
      </w:pPr>
      <w:rPr>
        <w:rFonts w:ascii="Courier New" w:hAnsi="Courier New" w:cs="Courier New" w:hint="default"/>
      </w:rPr>
    </w:lvl>
    <w:lvl w:ilvl="8" w:tplc="44090005">
      <w:start w:val="1"/>
      <w:numFmt w:val="bullet"/>
      <w:lvlText w:val=""/>
      <w:lvlJc w:val="left"/>
      <w:pPr>
        <w:ind w:left="6840" w:hanging="360"/>
      </w:pPr>
      <w:rPr>
        <w:rFonts w:ascii="Wingdings" w:hAnsi="Wingdings" w:hint="default"/>
      </w:rPr>
    </w:lvl>
  </w:abstractNum>
  <w:abstractNum w:abstractNumId="3">
    <w:nsid w:val="6FF134A8"/>
    <w:multiLevelType w:val="hybridMultilevel"/>
    <w:tmpl w:val="A11E92C0"/>
    <w:lvl w:ilvl="0" w:tplc="44090001">
      <w:start w:val="1"/>
      <w:numFmt w:val="bullet"/>
      <w:lvlText w:val=""/>
      <w:lvlJc w:val="left"/>
      <w:pPr>
        <w:ind w:left="1283" w:hanging="360"/>
      </w:pPr>
      <w:rPr>
        <w:rFonts w:ascii="Symbol" w:hAnsi="Symbol" w:hint="default"/>
      </w:rPr>
    </w:lvl>
    <w:lvl w:ilvl="1" w:tplc="44090003">
      <w:start w:val="1"/>
      <w:numFmt w:val="bullet"/>
      <w:lvlText w:val="o"/>
      <w:lvlJc w:val="left"/>
      <w:pPr>
        <w:ind w:left="2003" w:hanging="360"/>
      </w:pPr>
      <w:rPr>
        <w:rFonts w:ascii="Courier New" w:hAnsi="Courier New" w:cs="Courier New" w:hint="default"/>
      </w:rPr>
    </w:lvl>
    <w:lvl w:ilvl="2" w:tplc="44090005">
      <w:start w:val="1"/>
      <w:numFmt w:val="bullet"/>
      <w:lvlText w:val=""/>
      <w:lvlJc w:val="left"/>
      <w:pPr>
        <w:ind w:left="2723" w:hanging="360"/>
      </w:pPr>
      <w:rPr>
        <w:rFonts w:ascii="Wingdings" w:hAnsi="Wingdings" w:hint="default"/>
      </w:rPr>
    </w:lvl>
    <w:lvl w:ilvl="3" w:tplc="44090001">
      <w:start w:val="1"/>
      <w:numFmt w:val="bullet"/>
      <w:lvlText w:val=""/>
      <w:lvlJc w:val="left"/>
      <w:pPr>
        <w:ind w:left="3443" w:hanging="360"/>
      </w:pPr>
      <w:rPr>
        <w:rFonts w:ascii="Symbol" w:hAnsi="Symbol" w:hint="default"/>
      </w:rPr>
    </w:lvl>
    <w:lvl w:ilvl="4" w:tplc="44090003">
      <w:start w:val="1"/>
      <w:numFmt w:val="bullet"/>
      <w:lvlText w:val="o"/>
      <w:lvlJc w:val="left"/>
      <w:pPr>
        <w:ind w:left="4163" w:hanging="360"/>
      </w:pPr>
      <w:rPr>
        <w:rFonts w:ascii="Courier New" w:hAnsi="Courier New" w:cs="Courier New" w:hint="default"/>
      </w:rPr>
    </w:lvl>
    <w:lvl w:ilvl="5" w:tplc="44090005">
      <w:start w:val="1"/>
      <w:numFmt w:val="bullet"/>
      <w:lvlText w:val=""/>
      <w:lvlJc w:val="left"/>
      <w:pPr>
        <w:ind w:left="4883" w:hanging="360"/>
      </w:pPr>
      <w:rPr>
        <w:rFonts w:ascii="Wingdings" w:hAnsi="Wingdings" w:hint="default"/>
      </w:rPr>
    </w:lvl>
    <w:lvl w:ilvl="6" w:tplc="44090001">
      <w:start w:val="1"/>
      <w:numFmt w:val="bullet"/>
      <w:lvlText w:val=""/>
      <w:lvlJc w:val="left"/>
      <w:pPr>
        <w:ind w:left="5603" w:hanging="360"/>
      </w:pPr>
      <w:rPr>
        <w:rFonts w:ascii="Symbol" w:hAnsi="Symbol" w:hint="default"/>
      </w:rPr>
    </w:lvl>
    <w:lvl w:ilvl="7" w:tplc="44090003">
      <w:start w:val="1"/>
      <w:numFmt w:val="bullet"/>
      <w:lvlText w:val="o"/>
      <w:lvlJc w:val="left"/>
      <w:pPr>
        <w:ind w:left="6323" w:hanging="360"/>
      </w:pPr>
      <w:rPr>
        <w:rFonts w:ascii="Courier New" w:hAnsi="Courier New" w:cs="Courier New" w:hint="default"/>
      </w:rPr>
    </w:lvl>
    <w:lvl w:ilvl="8" w:tplc="44090005">
      <w:start w:val="1"/>
      <w:numFmt w:val="bullet"/>
      <w:lvlText w:val=""/>
      <w:lvlJc w:val="left"/>
      <w:pPr>
        <w:ind w:left="7043" w:hanging="360"/>
      </w:pPr>
      <w:rPr>
        <w:rFonts w:ascii="Wingdings" w:hAnsi="Wingdings" w:hint="default"/>
      </w:r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2FB7"/>
    <w:rsid w:val="003A441F"/>
    <w:rsid w:val="00483D2C"/>
    <w:rsid w:val="004E1368"/>
    <w:rsid w:val="00BA1F03"/>
    <w:rsid w:val="00C12FB7"/>
    <w:rsid w:val="00DA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B7"/>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C12FB7"/>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12FB7"/>
    <w:rPr>
      <w:rFonts w:ascii="Times New Roman" w:hAnsi="Times New Roman" w:cs="Times New Roman"/>
      <w:b/>
      <w:bCs/>
      <w:sz w:val="23"/>
      <w:szCs w:val="23"/>
    </w:rPr>
  </w:style>
  <w:style w:type="character" w:styleId="Hyperlink">
    <w:name w:val="Hyperlink"/>
    <w:basedOn w:val="DefaultParagraphFont"/>
    <w:uiPriority w:val="99"/>
    <w:semiHidden/>
    <w:unhideWhenUsed/>
    <w:rsid w:val="00C12FB7"/>
    <w:rPr>
      <w:color w:val="0000FF"/>
      <w:u w:val="single"/>
    </w:rPr>
  </w:style>
  <w:style w:type="paragraph" w:styleId="ListBullet">
    <w:name w:val="List Bullet"/>
    <w:basedOn w:val="Normal"/>
    <w:uiPriority w:val="99"/>
    <w:unhideWhenUsed/>
    <w:rsid w:val="00C12FB7"/>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C12FB7"/>
    <w:pPr>
      <w:jc w:val="both"/>
    </w:pPr>
    <w:rPr>
      <w:rFonts w:ascii="Arial" w:hAnsi="Arial" w:cs="Arial"/>
    </w:rPr>
  </w:style>
  <w:style w:type="character" w:customStyle="1" w:styleId="BodyText2Char">
    <w:name w:val="Body Text 2 Char"/>
    <w:basedOn w:val="DefaultParagraphFont"/>
    <w:link w:val="BodyText2"/>
    <w:uiPriority w:val="99"/>
    <w:semiHidden/>
    <w:rsid w:val="00C12FB7"/>
    <w:rPr>
      <w:rFonts w:ascii="Arial" w:hAnsi="Arial" w:cs="Arial"/>
    </w:rPr>
  </w:style>
  <w:style w:type="paragraph" w:styleId="ListParagraph">
    <w:name w:val="List Paragraph"/>
    <w:basedOn w:val="Normal"/>
    <w:uiPriority w:val="34"/>
    <w:qFormat/>
    <w:rsid w:val="00C12FB7"/>
    <w:pPr>
      <w:ind w:left="720"/>
      <w:contextualSpacing/>
    </w:pPr>
    <w:rPr>
      <w:rFonts w:ascii="Times New Roman" w:hAnsi="Times New Roman"/>
      <w:sz w:val="20"/>
      <w:szCs w:val="20"/>
    </w:rPr>
  </w:style>
  <w:style w:type="paragraph" w:styleId="Header">
    <w:name w:val="header"/>
    <w:basedOn w:val="Normal"/>
    <w:link w:val="HeaderChar"/>
    <w:uiPriority w:val="99"/>
    <w:semiHidden/>
    <w:unhideWhenUsed/>
    <w:rsid w:val="00C12FB7"/>
    <w:pPr>
      <w:tabs>
        <w:tab w:val="center" w:pos="4680"/>
        <w:tab w:val="right" w:pos="9360"/>
      </w:tabs>
    </w:pPr>
  </w:style>
  <w:style w:type="character" w:customStyle="1" w:styleId="HeaderChar">
    <w:name w:val="Header Char"/>
    <w:basedOn w:val="DefaultParagraphFont"/>
    <w:link w:val="Header"/>
    <w:uiPriority w:val="99"/>
    <w:semiHidden/>
    <w:rsid w:val="00C12FB7"/>
    <w:rPr>
      <w:rFonts w:ascii="Calibri" w:hAnsi="Calibri" w:cs="Times New Roman"/>
    </w:rPr>
  </w:style>
  <w:style w:type="paragraph" w:styleId="Footer">
    <w:name w:val="footer"/>
    <w:basedOn w:val="Normal"/>
    <w:link w:val="FooterChar"/>
    <w:uiPriority w:val="99"/>
    <w:semiHidden/>
    <w:unhideWhenUsed/>
    <w:rsid w:val="00C12FB7"/>
    <w:pPr>
      <w:tabs>
        <w:tab w:val="center" w:pos="4680"/>
        <w:tab w:val="right" w:pos="9360"/>
      </w:tabs>
    </w:pPr>
  </w:style>
  <w:style w:type="character" w:customStyle="1" w:styleId="FooterChar">
    <w:name w:val="Footer Char"/>
    <w:basedOn w:val="DefaultParagraphFont"/>
    <w:link w:val="Footer"/>
    <w:uiPriority w:val="99"/>
    <w:semiHidden/>
    <w:rsid w:val="00C12FB7"/>
    <w:rPr>
      <w:rFonts w:ascii="Calibri" w:hAnsi="Calibri" w:cs="Times New Roman"/>
    </w:rPr>
  </w:style>
  <w:style w:type="paragraph" w:styleId="BalloonText">
    <w:name w:val="Balloon Text"/>
    <w:basedOn w:val="Normal"/>
    <w:link w:val="BalloonTextChar"/>
    <w:uiPriority w:val="99"/>
    <w:semiHidden/>
    <w:unhideWhenUsed/>
    <w:rsid w:val="00C12FB7"/>
    <w:rPr>
      <w:rFonts w:ascii="Tahoma" w:hAnsi="Tahoma" w:cs="Tahoma"/>
      <w:sz w:val="16"/>
      <w:szCs w:val="16"/>
    </w:rPr>
  </w:style>
  <w:style w:type="character" w:customStyle="1" w:styleId="BalloonTextChar">
    <w:name w:val="Balloon Text Char"/>
    <w:basedOn w:val="DefaultParagraphFont"/>
    <w:link w:val="BalloonText"/>
    <w:uiPriority w:val="99"/>
    <w:semiHidden/>
    <w:rsid w:val="00C12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7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10505.3E251C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475</Words>
  <Characters>2708</Characters>
  <Application>Microsoft Office Word</Application>
  <DocSecurity>0</DocSecurity>
  <Lines>22</Lines>
  <Paragraphs>6</Paragraphs>
  <ScaleCrop>false</ScaleCrop>
  <Company>SJGT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2015-10-12T08:35:00Z</dcterms:created>
  <dcterms:modified xsi:type="dcterms:W3CDTF">2015-10-12T08:37:00Z</dcterms:modified>
</cp:coreProperties>
</file>